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F5A2" w14:textId="489EF7D7" w:rsidR="00D46B99" w:rsidRPr="005837B8" w:rsidRDefault="00575288" w:rsidP="0047575D">
      <w:pPr>
        <w:jc w:val="right"/>
        <w:rPr>
          <w:rFonts w:ascii="Arial" w:eastAsia="Times New Roman" w:hAnsi="Arial" w:cs="Arial"/>
          <w:b/>
          <w:bCs/>
          <w:color w:val="A6A6A6" w:themeColor="background1" w:themeShade="A6"/>
          <w:sz w:val="40"/>
          <w:szCs w:val="44"/>
        </w:rPr>
      </w:pPr>
      <w:r w:rsidRPr="005837B8">
        <w:rPr>
          <w:rFonts w:ascii="Arial" w:eastAsia="Times New Roman" w:hAnsi="Arial" w:cs="Arial"/>
          <w:b/>
          <w:bCs/>
          <w:color w:val="A6A6A6" w:themeColor="background1" w:themeShade="A6"/>
          <w:sz w:val="40"/>
          <w:szCs w:val="44"/>
        </w:rPr>
        <w:t xml:space="preserve"> </w:t>
      </w:r>
      <w:r w:rsidR="007F6BDA" w:rsidRPr="005837B8">
        <w:rPr>
          <w:rFonts w:ascii="Arial" w:hAnsi="Arial" w:cs="Arial"/>
          <w:noProof/>
          <w:lang w:val="en-GB" w:eastAsia="en-GB"/>
        </w:rPr>
        <w:drawing>
          <wp:inline distT="0" distB="0" distL="0" distR="0" wp14:anchorId="3F6E73F4" wp14:editId="0B633B73">
            <wp:extent cx="1508760" cy="102611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831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C3146" w14:textId="39858552" w:rsidR="00D46B99" w:rsidRPr="005837B8" w:rsidRDefault="0047575D" w:rsidP="0047575D">
      <w:pPr>
        <w:tabs>
          <w:tab w:val="left" w:pos="7050"/>
          <w:tab w:val="left" w:pos="9240"/>
        </w:tabs>
        <w:rPr>
          <w:rFonts w:ascii="Arial" w:eastAsia="Times New Roman" w:hAnsi="Arial" w:cs="Arial"/>
          <w:b/>
          <w:bCs/>
          <w:color w:val="A6A6A6" w:themeColor="background1" w:themeShade="A6"/>
          <w:sz w:val="40"/>
          <w:szCs w:val="44"/>
        </w:rPr>
      </w:pPr>
      <w:r w:rsidRPr="005837B8">
        <w:rPr>
          <w:rFonts w:ascii="Arial" w:eastAsia="Times New Roman" w:hAnsi="Arial" w:cs="Arial"/>
          <w:b/>
          <w:bCs/>
          <w:color w:val="A6A6A6" w:themeColor="background1" w:themeShade="A6"/>
          <w:sz w:val="40"/>
          <w:szCs w:val="44"/>
        </w:rPr>
        <w:tab/>
      </w:r>
    </w:p>
    <w:p w14:paraId="1656C020" w14:textId="542AF178" w:rsidR="00D46B99" w:rsidRPr="005837B8" w:rsidRDefault="005837B8" w:rsidP="00D16763">
      <w:pPr>
        <w:rPr>
          <w:rFonts w:ascii="Arial" w:eastAsia="Times New Roman" w:hAnsi="Arial" w:cs="Arial"/>
          <w:b/>
          <w:bCs/>
          <w:color w:val="001689"/>
          <w:sz w:val="40"/>
          <w:szCs w:val="44"/>
        </w:rPr>
      </w:pPr>
      <w:r w:rsidRPr="005837B8">
        <w:rPr>
          <w:rFonts w:ascii="Arial" w:eastAsia="Times New Roman" w:hAnsi="Arial" w:cs="Arial"/>
          <w:b/>
          <w:bCs/>
          <w:color w:val="001689"/>
          <w:sz w:val="40"/>
          <w:szCs w:val="44"/>
        </w:rPr>
        <w:t xml:space="preserve">Job description </w:t>
      </w:r>
    </w:p>
    <w:p w14:paraId="19155429" w14:textId="77777777" w:rsidR="00165169" w:rsidRPr="005837B8" w:rsidRDefault="00165169" w:rsidP="00D16763">
      <w:pPr>
        <w:rPr>
          <w:rFonts w:ascii="Arial" w:eastAsia="Times New Roman" w:hAnsi="Arial" w:cs="Arial"/>
          <w:b/>
          <w:bCs/>
          <w:color w:val="495241"/>
          <w:sz w:val="15"/>
          <w:szCs w:val="44"/>
        </w:rPr>
      </w:pPr>
    </w:p>
    <w:tbl>
      <w:tblPr>
        <w:tblW w:w="11052" w:type="dxa"/>
        <w:tblLook w:val="04A0" w:firstRow="1" w:lastRow="0" w:firstColumn="1" w:lastColumn="0" w:noHBand="0" w:noVBand="1"/>
      </w:tblPr>
      <w:tblGrid>
        <w:gridCol w:w="1805"/>
        <w:gridCol w:w="4820"/>
        <w:gridCol w:w="2410"/>
        <w:gridCol w:w="2017"/>
      </w:tblGrid>
      <w:tr w:rsidR="00AB409C" w:rsidRPr="009B57EB" w14:paraId="58C98590" w14:textId="77777777" w:rsidTr="2B55E34B">
        <w:trPr>
          <w:trHeight w:val="400"/>
        </w:trPr>
        <w:tc>
          <w:tcPr>
            <w:tcW w:w="11052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60D1E0"/>
            <w:vAlign w:val="center"/>
            <w:hideMark/>
          </w:tcPr>
          <w:p w14:paraId="624A55C6" w14:textId="209BD91F" w:rsidR="00AB409C" w:rsidRPr="009B57EB" w:rsidRDefault="005837B8" w:rsidP="00AB409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9B57E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Job overview</w:t>
            </w:r>
          </w:p>
        </w:tc>
      </w:tr>
      <w:tr w:rsidR="00AB409C" w:rsidRPr="009B57EB" w14:paraId="7C743D2F" w14:textId="77777777" w:rsidTr="00C5341B">
        <w:trPr>
          <w:trHeight w:val="500"/>
        </w:trPr>
        <w:tc>
          <w:tcPr>
            <w:tcW w:w="1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60D1E0"/>
            <w:vAlign w:val="center"/>
            <w:hideMark/>
          </w:tcPr>
          <w:p w14:paraId="4615D016" w14:textId="6DD926F9" w:rsidR="00AB409C" w:rsidRPr="009B57EB" w:rsidRDefault="005837B8" w:rsidP="00AB409C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B57E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Job</w:t>
            </w:r>
            <w:r w:rsidR="00CC151D" w:rsidRPr="009B57E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 w:rsidRPr="009B57E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9247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649E8C9" w14:textId="29992AC7" w:rsidR="00AB409C" w:rsidRPr="009B57EB" w:rsidRDefault="00F65A67" w:rsidP="00F575A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Financial Controller</w:t>
            </w:r>
          </w:p>
        </w:tc>
      </w:tr>
      <w:tr w:rsidR="00D7239D" w:rsidRPr="009B57EB" w14:paraId="3AD9E5D5" w14:textId="77777777" w:rsidTr="00C5341B">
        <w:trPr>
          <w:trHeight w:val="500"/>
        </w:trPr>
        <w:tc>
          <w:tcPr>
            <w:tcW w:w="1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60D1E0"/>
            <w:vAlign w:val="center"/>
            <w:hideMark/>
          </w:tcPr>
          <w:p w14:paraId="125C2FEF" w14:textId="51EA8120" w:rsidR="00D7239D" w:rsidRPr="009B57EB" w:rsidRDefault="005837B8" w:rsidP="00AB11C0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B57E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3CAC1E5" w14:textId="0777AD8E" w:rsidR="00D7239D" w:rsidRPr="009B57EB" w:rsidRDefault="00F65A67" w:rsidP="00D7239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Finance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60D1E0"/>
            <w:vAlign w:val="center"/>
          </w:tcPr>
          <w:p w14:paraId="447D5CDC" w14:textId="43E5986C" w:rsidR="00D7239D" w:rsidRPr="009B57EB" w:rsidRDefault="005837B8" w:rsidP="00D7239D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9B57EB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Directorate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A7A10A" w14:textId="424830F1" w:rsidR="00D7239D" w:rsidRPr="009B57EB" w:rsidRDefault="00F65A67" w:rsidP="00A031F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Finance, </w:t>
            </w:r>
            <w:r w:rsidR="007F160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Risk &amp;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Performance </w:t>
            </w:r>
          </w:p>
        </w:tc>
      </w:tr>
      <w:tr w:rsidR="004C74B9" w:rsidRPr="009B57EB" w14:paraId="200B9592" w14:textId="77777777" w:rsidTr="00C5341B">
        <w:trPr>
          <w:trHeight w:val="600"/>
        </w:trPr>
        <w:tc>
          <w:tcPr>
            <w:tcW w:w="1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60D1E0"/>
            <w:vAlign w:val="center"/>
            <w:hideMark/>
          </w:tcPr>
          <w:p w14:paraId="03E38D22" w14:textId="4FC1BFDB" w:rsidR="004C74B9" w:rsidRPr="009B57EB" w:rsidRDefault="005874CB" w:rsidP="001F0AAE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B57E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 w:rsidR="005837B8" w:rsidRPr="009B57E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Reports to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7085533" w14:textId="0CC3E59F" w:rsidR="0083732A" w:rsidRPr="009B57EB" w:rsidRDefault="00C5341B" w:rsidP="001115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</w:t>
            </w:r>
            <w:r w:rsidR="00F65A6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irector </w:t>
            </w:r>
            <w:r w:rsidR="005753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–</w:t>
            </w:r>
            <w:r w:rsidR="00F65A6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Finance</w:t>
            </w:r>
            <w:r w:rsidR="005753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&amp; Investment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60D1E0"/>
            <w:vAlign w:val="center"/>
          </w:tcPr>
          <w:p w14:paraId="0789B8AD" w14:textId="22D5EEE4" w:rsidR="004A48B3" w:rsidRPr="009B57EB" w:rsidRDefault="005837B8" w:rsidP="001F0AAE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9B57EB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 xml:space="preserve">Date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D629BA" w14:textId="1854E9AB" w:rsidR="00BB419D" w:rsidRPr="009B57EB" w:rsidRDefault="00BB419D" w:rsidP="001F0A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57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202</w:t>
            </w:r>
            <w:r w:rsidR="004249E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4A48B3" w:rsidRPr="009B57EB" w14:paraId="44AABF67" w14:textId="77777777" w:rsidTr="00C5341B">
        <w:trPr>
          <w:trHeight w:val="600"/>
        </w:trPr>
        <w:tc>
          <w:tcPr>
            <w:tcW w:w="1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60D1E0"/>
            <w:vAlign w:val="center"/>
          </w:tcPr>
          <w:p w14:paraId="746B382F" w14:textId="35B6B196" w:rsidR="004A48B3" w:rsidRPr="009B57EB" w:rsidRDefault="005837B8" w:rsidP="001F0AAE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B57E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Directly</w:t>
            </w:r>
            <w:r w:rsidR="00460990" w:rsidRPr="009B57E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 w:rsidRPr="009B57E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responsible for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54756A" w14:textId="77777777" w:rsidR="004A48B3" w:rsidRPr="009B57EB" w:rsidRDefault="004A48B3" w:rsidP="002C6E0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CEEBE8F" w14:textId="10C9B91A" w:rsidR="00CE0933" w:rsidRDefault="2B55E34B" w:rsidP="00CE0933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2B55E34B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Business Partner –</w:t>
            </w:r>
            <w:r w:rsidR="00AD2CD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2B55E34B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Financial Planning</w:t>
            </w:r>
          </w:p>
          <w:p w14:paraId="3CAE2B22" w14:textId="66080683" w:rsidR="0083732A" w:rsidRDefault="2B55E34B" w:rsidP="00CE093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2B55E34B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Business Partner – Treasury &amp; Tax</w:t>
            </w:r>
          </w:p>
          <w:p w14:paraId="2F473C10" w14:textId="22FB2A75" w:rsidR="005025BC" w:rsidRPr="009B57EB" w:rsidRDefault="005025BC" w:rsidP="002C6E0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60D1E0"/>
            <w:vAlign w:val="center"/>
          </w:tcPr>
          <w:p w14:paraId="1004456F" w14:textId="6B5F9A6C" w:rsidR="004A48B3" w:rsidRPr="009B57EB" w:rsidRDefault="005837B8" w:rsidP="001F0AAE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9B57EB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 xml:space="preserve">Job ref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576AD8" w14:textId="389EA2B8" w:rsidR="005025BC" w:rsidRPr="009B57EB" w:rsidRDefault="00F65A67" w:rsidP="001F0A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F02</w:t>
            </w:r>
          </w:p>
        </w:tc>
      </w:tr>
      <w:tr w:rsidR="001F0AAE" w:rsidRPr="009B57EB" w14:paraId="018763CE" w14:textId="77777777" w:rsidTr="2B55E34B">
        <w:trPr>
          <w:trHeight w:val="1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C313" w14:textId="0E0FB675" w:rsidR="007A6ED2" w:rsidRPr="009B57EB" w:rsidRDefault="00EE4EBA" w:rsidP="00D668A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57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A337" w14:textId="77777777" w:rsidR="001F0AAE" w:rsidRPr="009B57EB" w:rsidRDefault="001F0AAE" w:rsidP="001F0AA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A6ED2" w:rsidRPr="009B57EB" w14:paraId="11D0BBF0" w14:textId="77777777" w:rsidTr="2B55E34B">
        <w:trPr>
          <w:trHeight w:val="1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B45B1" w14:textId="77777777" w:rsidR="007A6ED2" w:rsidRPr="009B57EB" w:rsidRDefault="007A6ED2" w:rsidP="001F0A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D6322" w14:textId="5DCD3A59" w:rsidR="007A6ED2" w:rsidRPr="009B57EB" w:rsidRDefault="007A6ED2" w:rsidP="00097BD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F0AAE" w:rsidRPr="009B57EB" w14:paraId="73F72B03" w14:textId="77777777" w:rsidTr="2B55E34B">
        <w:trPr>
          <w:trHeight w:val="400"/>
        </w:trPr>
        <w:tc>
          <w:tcPr>
            <w:tcW w:w="1105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60D1E0"/>
            <w:vAlign w:val="center"/>
          </w:tcPr>
          <w:p w14:paraId="420C7BD3" w14:textId="12B5B48A" w:rsidR="001F0AAE" w:rsidRPr="00E87117" w:rsidRDefault="005837B8" w:rsidP="001F0AA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8711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Overall team / department purpose </w:t>
            </w:r>
          </w:p>
        </w:tc>
      </w:tr>
      <w:tr w:rsidR="00885F7C" w:rsidRPr="009B57EB" w14:paraId="76809E72" w14:textId="77777777" w:rsidTr="2B55E34B">
        <w:trPr>
          <w:trHeight w:val="400"/>
        </w:trPr>
        <w:tc>
          <w:tcPr>
            <w:tcW w:w="1105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A09342" w14:textId="77777777" w:rsidR="005025BC" w:rsidRPr="00E87117" w:rsidRDefault="005025BC" w:rsidP="00D262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B85F1D0" w14:textId="1E0EEFD5" w:rsidR="00E11598" w:rsidRPr="00E87117" w:rsidRDefault="00E11598" w:rsidP="00E1159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87117">
              <w:rPr>
                <w:rFonts w:ascii="Arial" w:hAnsi="Arial" w:cs="Arial"/>
                <w:bCs/>
                <w:sz w:val="22"/>
                <w:szCs w:val="22"/>
              </w:rPr>
              <w:t xml:space="preserve">The Financial Controller’s team comprises the </w:t>
            </w:r>
            <w:r w:rsidR="009829F3">
              <w:rPr>
                <w:rFonts w:ascii="Arial" w:hAnsi="Arial" w:cs="Arial"/>
                <w:bCs/>
                <w:sz w:val="22"/>
                <w:szCs w:val="22"/>
              </w:rPr>
              <w:t>G</w:t>
            </w:r>
            <w:r w:rsidRPr="00E87117">
              <w:rPr>
                <w:rFonts w:ascii="Arial" w:hAnsi="Arial" w:cs="Arial"/>
                <w:bCs/>
                <w:sz w:val="22"/>
                <w:szCs w:val="22"/>
              </w:rPr>
              <w:t>roup’s Treasury &amp; Tax, Financial Planning</w:t>
            </w:r>
            <w:r w:rsidR="002B00F0">
              <w:rPr>
                <w:rFonts w:ascii="Arial" w:hAnsi="Arial" w:cs="Arial"/>
                <w:bCs/>
                <w:sz w:val="22"/>
                <w:szCs w:val="22"/>
              </w:rPr>
              <w:t xml:space="preserve"> and Policy functions</w:t>
            </w:r>
            <w:r w:rsidR="00782FE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150FF922" w14:textId="32E63653" w:rsidR="00E11598" w:rsidRPr="00E87117" w:rsidRDefault="00E11598" w:rsidP="00E1159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87117">
              <w:rPr>
                <w:rFonts w:ascii="Arial" w:hAnsi="Arial" w:cs="Arial"/>
                <w:bCs/>
                <w:sz w:val="22"/>
                <w:szCs w:val="22"/>
              </w:rPr>
              <w:t xml:space="preserve">The primary purpose of this team is to be responsible for </w:t>
            </w:r>
            <w:r w:rsidR="00CE0933">
              <w:rPr>
                <w:rFonts w:ascii="Arial" w:hAnsi="Arial" w:cs="Arial"/>
                <w:bCs/>
                <w:sz w:val="22"/>
                <w:szCs w:val="22"/>
              </w:rPr>
              <w:t xml:space="preserve">ensuring </w:t>
            </w:r>
            <w:r w:rsidR="00A4630F">
              <w:rPr>
                <w:rFonts w:ascii="Arial" w:hAnsi="Arial" w:cs="Arial"/>
                <w:bCs/>
                <w:sz w:val="22"/>
                <w:szCs w:val="22"/>
              </w:rPr>
              <w:t xml:space="preserve">that </w:t>
            </w:r>
            <w:r w:rsidRPr="00E87117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CE0933">
              <w:rPr>
                <w:rFonts w:ascii="Arial" w:hAnsi="Arial" w:cs="Arial"/>
                <w:bCs/>
                <w:sz w:val="22"/>
                <w:szCs w:val="22"/>
              </w:rPr>
              <w:t>financial viability and resilience of the group is maintained in the short</w:t>
            </w:r>
            <w:r w:rsidR="0013005B">
              <w:rPr>
                <w:rFonts w:ascii="Arial" w:hAnsi="Arial" w:cs="Arial"/>
                <w:bCs/>
                <w:sz w:val="22"/>
                <w:szCs w:val="22"/>
              </w:rPr>
              <w:t xml:space="preserve">, medium </w:t>
            </w:r>
            <w:r w:rsidR="00CE0933">
              <w:rPr>
                <w:rFonts w:ascii="Arial" w:hAnsi="Arial" w:cs="Arial"/>
                <w:bCs/>
                <w:sz w:val="22"/>
                <w:szCs w:val="22"/>
              </w:rPr>
              <w:t xml:space="preserve">and long-term and that the group </w:t>
            </w:r>
            <w:r w:rsidR="00C5341B">
              <w:rPr>
                <w:rFonts w:ascii="Arial" w:hAnsi="Arial" w:cs="Arial"/>
                <w:bCs/>
                <w:sz w:val="22"/>
                <w:szCs w:val="22"/>
              </w:rPr>
              <w:t>maintains compliance</w:t>
            </w:r>
            <w:r w:rsidR="002B00F0">
              <w:rPr>
                <w:rFonts w:ascii="Arial" w:hAnsi="Arial" w:cs="Arial"/>
                <w:bCs/>
                <w:sz w:val="22"/>
                <w:szCs w:val="22"/>
              </w:rPr>
              <w:t xml:space="preserve"> with the </w:t>
            </w:r>
            <w:r w:rsidR="000F7DB0">
              <w:rPr>
                <w:rFonts w:ascii="Arial" w:hAnsi="Arial" w:cs="Arial"/>
                <w:bCs/>
                <w:sz w:val="22"/>
                <w:szCs w:val="22"/>
              </w:rPr>
              <w:t>finance and treasury strategy</w:t>
            </w:r>
            <w:r w:rsidR="00A4630F">
              <w:rPr>
                <w:rFonts w:ascii="Arial" w:hAnsi="Arial" w:cs="Arial"/>
                <w:bCs/>
                <w:sz w:val="22"/>
                <w:szCs w:val="22"/>
              </w:rPr>
              <w:t xml:space="preserve"> and associated policies</w:t>
            </w:r>
            <w:r w:rsidR="000F7DB0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2B00F0">
              <w:rPr>
                <w:rFonts w:ascii="Arial" w:hAnsi="Arial" w:cs="Arial"/>
                <w:bCs/>
                <w:sz w:val="22"/>
                <w:szCs w:val="22"/>
              </w:rPr>
              <w:t xml:space="preserve">and </w:t>
            </w:r>
            <w:r w:rsidR="000F7DB0">
              <w:rPr>
                <w:rFonts w:ascii="Arial" w:hAnsi="Arial" w:cs="Arial"/>
                <w:bCs/>
                <w:sz w:val="22"/>
                <w:szCs w:val="22"/>
              </w:rPr>
              <w:t xml:space="preserve">with all financial </w:t>
            </w:r>
            <w:r w:rsidR="002B00F0">
              <w:rPr>
                <w:rFonts w:ascii="Arial" w:hAnsi="Arial" w:cs="Arial"/>
                <w:bCs/>
                <w:sz w:val="22"/>
                <w:szCs w:val="22"/>
              </w:rPr>
              <w:t xml:space="preserve">regulatory and statutory matters. </w:t>
            </w:r>
          </w:p>
          <w:p w14:paraId="4B1D5574" w14:textId="75C32CFF" w:rsidR="000F7DB0" w:rsidRDefault="00E11598" w:rsidP="00AC2D4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87117">
              <w:rPr>
                <w:rFonts w:ascii="Arial" w:hAnsi="Arial" w:cs="Arial"/>
                <w:bCs/>
                <w:sz w:val="22"/>
                <w:szCs w:val="22"/>
              </w:rPr>
              <w:t xml:space="preserve">This comprises </w:t>
            </w:r>
            <w:r w:rsidR="00782FE0">
              <w:rPr>
                <w:rFonts w:ascii="Arial" w:hAnsi="Arial" w:cs="Arial"/>
                <w:bCs/>
                <w:sz w:val="22"/>
                <w:szCs w:val="22"/>
              </w:rPr>
              <w:t xml:space="preserve">control </w:t>
            </w:r>
            <w:r w:rsidRPr="00E87117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0F7DB0">
              <w:rPr>
                <w:rFonts w:ascii="Arial" w:hAnsi="Arial" w:cs="Arial"/>
                <w:bCs/>
                <w:sz w:val="22"/>
                <w:szCs w:val="22"/>
              </w:rPr>
              <w:t>ver</w:t>
            </w:r>
            <w:r w:rsidRPr="00E87117">
              <w:rPr>
                <w:rFonts w:ascii="Arial" w:hAnsi="Arial" w:cs="Arial"/>
                <w:bCs/>
                <w:sz w:val="22"/>
                <w:szCs w:val="22"/>
              </w:rPr>
              <w:t xml:space="preserve"> the </w:t>
            </w:r>
            <w:r w:rsidR="009829F3">
              <w:rPr>
                <w:rFonts w:ascii="Arial" w:hAnsi="Arial" w:cs="Arial"/>
                <w:bCs/>
                <w:sz w:val="22"/>
                <w:szCs w:val="22"/>
              </w:rPr>
              <w:t>G</w:t>
            </w:r>
            <w:r w:rsidRPr="00E87117">
              <w:rPr>
                <w:rFonts w:ascii="Arial" w:hAnsi="Arial" w:cs="Arial"/>
                <w:bCs/>
                <w:sz w:val="22"/>
                <w:szCs w:val="22"/>
              </w:rPr>
              <w:t>roup</w:t>
            </w:r>
            <w:r w:rsidR="00782FE0">
              <w:rPr>
                <w:rFonts w:ascii="Arial" w:hAnsi="Arial" w:cs="Arial"/>
                <w:bCs/>
                <w:sz w:val="22"/>
                <w:szCs w:val="22"/>
              </w:rPr>
              <w:t>’s</w:t>
            </w:r>
            <w:r w:rsidRPr="00E8711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F7DB0">
              <w:rPr>
                <w:rFonts w:ascii="Arial" w:hAnsi="Arial" w:cs="Arial"/>
                <w:bCs/>
                <w:sz w:val="22"/>
                <w:szCs w:val="22"/>
              </w:rPr>
              <w:t xml:space="preserve">base </w:t>
            </w:r>
            <w:r w:rsidR="000355E5">
              <w:rPr>
                <w:rFonts w:ascii="Arial" w:hAnsi="Arial" w:cs="Arial"/>
                <w:bCs/>
                <w:sz w:val="22"/>
                <w:szCs w:val="22"/>
              </w:rPr>
              <w:t xml:space="preserve">approved </w:t>
            </w:r>
            <w:r w:rsidRPr="00E87117">
              <w:rPr>
                <w:rFonts w:ascii="Arial" w:hAnsi="Arial" w:cs="Arial"/>
                <w:bCs/>
                <w:sz w:val="22"/>
                <w:szCs w:val="22"/>
              </w:rPr>
              <w:t>Financial Plan</w:t>
            </w:r>
            <w:r w:rsidR="00782FE0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E8711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82FE0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E87117">
              <w:rPr>
                <w:rFonts w:ascii="Arial" w:hAnsi="Arial" w:cs="Arial"/>
                <w:bCs/>
                <w:sz w:val="22"/>
                <w:szCs w:val="22"/>
              </w:rPr>
              <w:t>and associated stress testing</w:t>
            </w:r>
            <w:r w:rsidR="00A4630F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E87117">
              <w:rPr>
                <w:rFonts w:ascii="Arial" w:hAnsi="Arial" w:cs="Arial"/>
                <w:bCs/>
                <w:sz w:val="22"/>
                <w:szCs w:val="22"/>
              </w:rPr>
              <w:t xml:space="preserve"> mitigation plans</w:t>
            </w:r>
            <w:r w:rsidR="00A4630F">
              <w:rPr>
                <w:rFonts w:ascii="Arial" w:hAnsi="Arial" w:cs="Arial"/>
                <w:bCs/>
                <w:sz w:val="22"/>
                <w:szCs w:val="22"/>
              </w:rPr>
              <w:t>, and the asset and liability register</w:t>
            </w:r>
            <w:r w:rsidR="00782FE0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0F7DB0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0355E5">
              <w:rPr>
                <w:rFonts w:ascii="Arial" w:hAnsi="Arial" w:cs="Arial"/>
                <w:bCs/>
                <w:sz w:val="22"/>
                <w:szCs w:val="22"/>
              </w:rPr>
              <w:t xml:space="preserve">financial </w:t>
            </w:r>
            <w:r w:rsidR="000F7DB0">
              <w:rPr>
                <w:rFonts w:ascii="Arial" w:hAnsi="Arial" w:cs="Arial"/>
                <w:bCs/>
                <w:sz w:val="22"/>
                <w:szCs w:val="22"/>
              </w:rPr>
              <w:t xml:space="preserve">regulatory </w:t>
            </w:r>
            <w:r w:rsidR="00C5341B">
              <w:rPr>
                <w:rFonts w:ascii="Arial" w:hAnsi="Arial" w:cs="Arial"/>
                <w:bCs/>
                <w:sz w:val="22"/>
                <w:szCs w:val="22"/>
              </w:rPr>
              <w:t>reporting,</w:t>
            </w:r>
            <w:r w:rsidR="00C5341B" w:rsidRPr="00E8711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5341B">
              <w:rPr>
                <w:rFonts w:ascii="Arial" w:hAnsi="Arial" w:cs="Arial"/>
                <w:bCs/>
                <w:sz w:val="22"/>
                <w:szCs w:val="22"/>
              </w:rPr>
              <w:t>financial</w:t>
            </w:r>
            <w:r w:rsidR="000F7DB0">
              <w:rPr>
                <w:rFonts w:ascii="Arial" w:hAnsi="Arial" w:cs="Arial"/>
                <w:bCs/>
                <w:sz w:val="22"/>
                <w:szCs w:val="22"/>
              </w:rPr>
              <w:t xml:space="preserve"> policy and procedure, and financial master data.</w:t>
            </w:r>
          </w:p>
          <w:p w14:paraId="7E1ED746" w14:textId="0088CCE8" w:rsidR="00420788" w:rsidRPr="00E87117" w:rsidRDefault="000F7DB0" w:rsidP="00AC2D4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In addition the function will </w:t>
            </w:r>
            <w:r w:rsidR="00E11598" w:rsidRPr="00E87117">
              <w:rPr>
                <w:rFonts w:ascii="Arial" w:hAnsi="Arial" w:cs="Arial"/>
                <w:bCs/>
                <w:sz w:val="22"/>
                <w:szCs w:val="22"/>
              </w:rPr>
              <w:t>provi</w:t>
            </w:r>
            <w:r>
              <w:rPr>
                <w:rFonts w:ascii="Arial" w:hAnsi="Arial" w:cs="Arial"/>
                <w:bCs/>
                <w:sz w:val="22"/>
                <w:szCs w:val="22"/>
              </w:rPr>
              <w:t>de</w:t>
            </w:r>
            <w:r w:rsidR="00E11598" w:rsidRPr="00E87117">
              <w:rPr>
                <w:rFonts w:ascii="Arial" w:hAnsi="Arial" w:cs="Arial"/>
                <w:bCs/>
                <w:sz w:val="22"/>
                <w:szCs w:val="22"/>
              </w:rPr>
              <w:t xml:space="preserve"> a business partnering approach to the specialist support activities involved in financial planning, treasury &amp; </w:t>
            </w:r>
            <w:r w:rsidR="00C5341B" w:rsidRPr="00E87117">
              <w:rPr>
                <w:rFonts w:ascii="Arial" w:hAnsi="Arial" w:cs="Arial"/>
                <w:bCs/>
                <w:sz w:val="22"/>
                <w:szCs w:val="22"/>
              </w:rPr>
              <w:t>tax, financial</w:t>
            </w:r>
            <w:r w:rsidR="00A4630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policy and </w:t>
            </w:r>
            <w:r w:rsidR="00A4630F">
              <w:rPr>
                <w:rFonts w:ascii="Arial" w:hAnsi="Arial" w:cs="Arial"/>
                <w:bCs/>
                <w:sz w:val="22"/>
                <w:szCs w:val="22"/>
              </w:rPr>
              <w:t xml:space="preserve">procedure, </w:t>
            </w:r>
            <w:r w:rsidR="00C5341B">
              <w:rPr>
                <w:rFonts w:ascii="Arial" w:hAnsi="Arial" w:cs="Arial"/>
                <w:bCs/>
                <w:sz w:val="22"/>
                <w:szCs w:val="22"/>
              </w:rPr>
              <w:t>and financial</w:t>
            </w:r>
            <w:r w:rsidR="00A4630F">
              <w:rPr>
                <w:rFonts w:ascii="Arial" w:hAnsi="Arial" w:cs="Arial"/>
                <w:bCs/>
                <w:sz w:val="22"/>
                <w:szCs w:val="22"/>
              </w:rPr>
              <w:t xml:space="preserve"> data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matters</w:t>
            </w:r>
            <w:r w:rsidR="00A4630F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E11598" w:rsidRPr="00E87117">
              <w:rPr>
                <w:rFonts w:ascii="Arial" w:hAnsi="Arial" w:cs="Arial"/>
                <w:bCs/>
                <w:sz w:val="22"/>
                <w:szCs w:val="22"/>
              </w:rPr>
              <w:t xml:space="preserve">.  </w:t>
            </w:r>
          </w:p>
          <w:p w14:paraId="51EFC5B5" w14:textId="4CCD136A" w:rsidR="00420788" w:rsidRPr="00E87117" w:rsidRDefault="00420788" w:rsidP="004207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85F7C" w:rsidRPr="009B57EB" w14:paraId="7FFCF0BD" w14:textId="77777777" w:rsidTr="2B55E34B">
        <w:trPr>
          <w:trHeight w:val="400"/>
        </w:trPr>
        <w:tc>
          <w:tcPr>
            <w:tcW w:w="1105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60D1E0"/>
            <w:vAlign w:val="center"/>
          </w:tcPr>
          <w:p w14:paraId="59CF47A8" w14:textId="4E3EDB47" w:rsidR="00885F7C" w:rsidRPr="00E87117" w:rsidRDefault="005837B8" w:rsidP="0073461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8711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Key role priorities</w:t>
            </w:r>
          </w:p>
        </w:tc>
      </w:tr>
      <w:tr w:rsidR="002242F7" w:rsidRPr="009B57EB" w14:paraId="7FDDEA35" w14:textId="77777777" w:rsidTr="2B55E34B">
        <w:trPr>
          <w:trHeight w:val="400"/>
        </w:trPr>
        <w:tc>
          <w:tcPr>
            <w:tcW w:w="1105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71249AD" w14:textId="77777777" w:rsidR="00BA7865" w:rsidRDefault="00BA7865" w:rsidP="00BA7865">
            <w:pPr>
              <w:pStyle w:val="ListParagraph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7935C6" w14:textId="3D505804" w:rsidR="003B2021" w:rsidRDefault="0083732A" w:rsidP="00A94FF7">
            <w:pPr>
              <w:pStyle w:val="ListParagraph"/>
              <w:numPr>
                <w:ilvl w:val="0"/>
                <w:numId w:val="4"/>
              </w:numPr>
              <w:tabs>
                <w:tab w:val="num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04CC">
              <w:rPr>
                <w:rFonts w:ascii="Arial" w:hAnsi="Arial" w:cs="Arial"/>
                <w:sz w:val="22"/>
                <w:szCs w:val="22"/>
              </w:rPr>
              <w:t>T</w:t>
            </w:r>
            <w:r w:rsidR="00583784" w:rsidRPr="008C04CC">
              <w:rPr>
                <w:rFonts w:ascii="Arial" w:hAnsi="Arial" w:cs="Arial"/>
                <w:sz w:val="22"/>
                <w:szCs w:val="22"/>
              </w:rPr>
              <w:t xml:space="preserve">his role is </w:t>
            </w:r>
            <w:r w:rsidR="00C76A42">
              <w:rPr>
                <w:rFonts w:ascii="Arial" w:hAnsi="Arial" w:cs="Arial"/>
                <w:sz w:val="22"/>
                <w:szCs w:val="22"/>
              </w:rPr>
              <w:t xml:space="preserve">predominantly </w:t>
            </w:r>
            <w:r w:rsidR="00583784" w:rsidRPr="008C04CC">
              <w:rPr>
                <w:rFonts w:ascii="Arial" w:hAnsi="Arial" w:cs="Arial"/>
                <w:sz w:val="22"/>
                <w:szCs w:val="22"/>
              </w:rPr>
              <w:t xml:space="preserve">responsible for </w:t>
            </w:r>
            <w:r w:rsidR="003B2021">
              <w:rPr>
                <w:rFonts w:ascii="Arial" w:hAnsi="Arial" w:cs="Arial"/>
                <w:sz w:val="22"/>
                <w:szCs w:val="22"/>
              </w:rPr>
              <w:t xml:space="preserve">maintaining </w:t>
            </w:r>
            <w:r w:rsidR="0013005B">
              <w:rPr>
                <w:rFonts w:ascii="Arial" w:hAnsi="Arial" w:cs="Arial"/>
                <w:sz w:val="22"/>
                <w:szCs w:val="22"/>
              </w:rPr>
              <w:t xml:space="preserve">and controlling </w:t>
            </w:r>
            <w:r w:rsidR="003B2021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gramStart"/>
            <w:r w:rsidR="00B5050C">
              <w:rPr>
                <w:rFonts w:ascii="Arial" w:hAnsi="Arial" w:cs="Arial"/>
                <w:sz w:val="22"/>
                <w:szCs w:val="22"/>
              </w:rPr>
              <w:t>long term</w:t>
            </w:r>
            <w:proofErr w:type="gramEnd"/>
            <w:r w:rsidR="003B20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55E5">
              <w:rPr>
                <w:rFonts w:ascii="Arial" w:hAnsi="Arial" w:cs="Arial"/>
                <w:sz w:val="22"/>
                <w:szCs w:val="22"/>
              </w:rPr>
              <w:t xml:space="preserve">financial </w:t>
            </w:r>
            <w:r w:rsidR="003B2021">
              <w:rPr>
                <w:rFonts w:ascii="Arial" w:hAnsi="Arial" w:cs="Arial"/>
                <w:sz w:val="22"/>
                <w:szCs w:val="22"/>
              </w:rPr>
              <w:t xml:space="preserve">plan for the </w:t>
            </w:r>
            <w:r w:rsidR="00C5341B">
              <w:rPr>
                <w:rFonts w:ascii="Arial" w:hAnsi="Arial" w:cs="Arial"/>
                <w:sz w:val="22"/>
                <w:szCs w:val="22"/>
              </w:rPr>
              <w:t>Group,</w:t>
            </w:r>
            <w:r w:rsidR="003B20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341B">
              <w:rPr>
                <w:rFonts w:ascii="Arial" w:hAnsi="Arial" w:cs="Arial"/>
                <w:sz w:val="22"/>
                <w:szCs w:val="22"/>
              </w:rPr>
              <w:t>ensuring ongoing</w:t>
            </w:r>
            <w:r w:rsidR="000355E5">
              <w:rPr>
                <w:rFonts w:ascii="Arial" w:hAnsi="Arial" w:cs="Arial"/>
                <w:sz w:val="22"/>
                <w:szCs w:val="22"/>
              </w:rPr>
              <w:t xml:space="preserve"> financial </w:t>
            </w:r>
            <w:r w:rsidR="003B2021">
              <w:rPr>
                <w:rFonts w:ascii="Arial" w:hAnsi="Arial" w:cs="Arial"/>
                <w:sz w:val="22"/>
                <w:szCs w:val="22"/>
              </w:rPr>
              <w:t xml:space="preserve">viability </w:t>
            </w:r>
            <w:r w:rsidR="000355E5">
              <w:rPr>
                <w:rFonts w:ascii="Arial" w:hAnsi="Arial" w:cs="Arial"/>
                <w:sz w:val="22"/>
                <w:szCs w:val="22"/>
              </w:rPr>
              <w:t xml:space="preserve">and resilience </w:t>
            </w:r>
            <w:r w:rsidR="0013005B">
              <w:rPr>
                <w:rFonts w:ascii="Arial" w:hAnsi="Arial" w:cs="Arial"/>
                <w:sz w:val="22"/>
                <w:szCs w:val="22"/>
              </w:rPr>
              <w:t>is maintained</w:t>
            </w:r>
            <w:r w:rsidR="003B202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355E5">
              <w:rPr>
                <w:rFonts w:ascii="Arial" w:hAnsi="Arial" w:cs="Arial"/>
                <w:sz w:val="22"/>
                <w:szCs w:val="22"/>
              </w:rPr>
              <w:t xml:space="preserve">financial compliance </w:t>
            </w:r>
            <w:r w:rsidR="0013005B">
              <w:rPr>
                <w:rFonts w:ascii="Arial" w:hAnsi="Arial" w:cs="Arial"/>
                <w:sz w:val="22"/>
                <w:szCs w:val="22"/>
              </w:rPr>
              <w:t xml:space="preserve">in line </w:t>
            </w:r>
            <w:r w:rsidR="000355E5">
              <w:rPr>
                <w:rFonts w:ascii="Arial" w:hAnsi="Arial" w:cs="Arial"/>
                <w:sz w:val="22"/>
                <w:szCs w:val="22"/>
              </w:rPr>
              <w:t>with strategic intent</w:t>
            </w:r>
            <w:r w:rsidR="0013005B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0355E5">
              <w:rPr>
                <w:rFonts w:ascii="Arial" w:hAnsi="Arial" w:cs="Arial"/>
                <w:sz w:val="22"/>
                <w:szCs w:val="22"/>
              </w:rPr>
              <w:t xml:space="preserve"> policy, and </w:t>
            </w:r>
            <w:r w:rsidR="0013005B">
              <w:rPr>
                <w:rFonts w:ascii="Arial" w:hAnsi="Arial" w:cs="Arial"/>
                <w:sz w:val="22"/>
                <w:szCs w:val="22"/>
              </w:rPr>
              <w:t xml:space="preserve">compliance with </w:t>
            </w:r>
            <w:r w:rsidR="000355E5"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="0013005B">
              <w:rPr>
                <w:rFonts w:ascii="Arial" w:hAnsi="Arial" w:cs="Arial"/>
                <w:sz w:val="22"/>
                <w:szCs w:val="22"/>
              </w:rPr>
              <w:t xml:space="preserve">financial </w:t>
            </w:r>
            <w:r w:rsidR="000355E5">
              <w:rPr>
                <w:rFonts w:ascii="Arial" w:hAnsi="Arial" w:cs="Arial"/>
                <w:sz w:val="22"/>
                <w:szCs w:val="22"/>
              </w:rPr>
              <w:t>regulatory and statutory matters.</w:t>
            </w:r>
          </w:p>
          <w:p w14:paraId="27DC0DB4" w14:textId="75024EF4" w:rsidR="00A94FF7" w:rsidRDefault="003B2021" w:rsidP="00A94FF7">
            <w:pPr>
              <w:pStyle w:val="ListParagraph"/>
              <w:numPr>
                <w:ilvl w:val="0"/>
                <w:numId w:val="4"/>
              </w:numPr>
              <w:tabs>
                <w:tab w:val="num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role is in addition responsible for </w:t>
            </w:r>
            <w:r w:rsidR="008C04CC" w:rsidRPr="008C04CC">
              <w:rPr>
                <w:rFonts w:ascii="Arial" w:hAnsi="Arial" w:cs="Arial"/>
                <w:sz w:val="22"/>
                <w:szCs w:val="22"/>
              </w:rPr>
              <w:t xml:space="preserve">the provision of leadership and management to enable Treasury &amp; Tax and Financial Planning Business Partners </w:t>
            </w:r>
            <w:r w:rsidR="0017774F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5664DD">
              <w:rPr>
                <w:rFonts w:ascii="Arial" w:hAnsi="Arial" w:cs="Arial"/>
                <w:sz w:val="22"/>
                <w:szCs w:val="22"/>
              </w:rPr>
              <w:t xml:space="preserve">associated </w:t>
            </w:r>
            <w:r w:rsidR="0017774F">
              <w:rPr>
                <w:rFonts w:ascii="Arial" w:hAnsi="Arial" w:cs="Arial"/>
                <w:sz w:val="22"/>
                <w:szCs w:val="22"/>
              </w:rPr>
              <w:t xml:space="preserve">functions </w:t>
            </w:r>
            <w:r w:rsidR="008C04CC" w:rsidRPr="008C04CC">
              <w:rPr>
                <w:rFonts w:ascii="Arial" w:hAnsi="Arial" w:cs="Arial"/>
                <w:sz w:val="22"/>
                <w:szCs w:val="22"/>
              </w:rPr>
              <w:t xml:space="preserve">to deliver exceptional </w:t>
            </w:r>
            <w:r w:rsidR="008C04CC" w:rsidRPr="00A94FF7">
              <w:rPr>
                <w:rFonts w:ascii="Arial" w:hAnsi="Arial" w:cs="Arial"/>
                <w:sz w:val="22"/>
                <w:szCs w:val="22"/>
              </w:rPr>
              <w:t xml:space="preserve">customer service to facilitate the Group </w:t>
            </w:r>
            <w:r w:rsidR="00951C5D" w:rsidRPr="00A94FF7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8C04CC" w:rsidRPr="00A94FF7">
              <w:rPr>
                <w:rFonts w:ascii="Arial" w:hAnsi="Arial" w:cs="Arial"/>
                <w:sz w:val="22"/>
                <w:szCs w:val="22"/>
              </w:rPr>
              <w:t>developing and delive</w:t>
            </w:r>
            <w:r w:rsidR="00A94FF7">
              <w:rPr>
                <w:rFonts w:ascii="Arial" w:hAnsi="Arial" w:cs="Arial"/>
                <w:sz w:val="22"/>
                <w:szCs w:val="22"/>
              </w:rPr>
              <w:t>ring its Vision in these areas.</w:t>
            </w:r>
          </w:p>
          <w:p w14:paraId="1834BB43" w14:textId="52C2683A" w:rsidR="00BE051C" w:rsidRDefault="002B3133" w:rsidP="00A94FF7">
            <w:pPr>
              <w:pStyle w:val="ListParagraph"/>
              <w:numPr>
                <w:ilvl w:val="0"/>
                <w:numId w:val="4"/>
              </w:numPr>
              <w:tabs>
                <w:tab w:val="num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FF7">
              <w:rPr>
                <w:rFonts w:ascii="Arial" w:hAnsi="Arial" w:cs="Arial"/>
                <w:sz w:val="22"/>
                <w:szCs w:val="22"/>
              </w:rPr>
              <w:t xml:space="preserve">The role </w:t>
            </w:r>
            <w:r w:rsidR="003B2021">
              <w:rPr>
                <w:rFonts w:ascii="Arial" w:hAnsi="Arial" w:cs="Arial"/>
                <w:sz w:val="22"/>
                <w:szCs w:val="22"/>
              </w:rPr>
              <w:t xml:space="preserve">also </w:t>
            </w:r>
            <w:r w:rsidRPr="00A94FF7">
              <w:rPr>
                <w:rFonts w:ascii="Arial" w:hAnsi="Arial" w:cs="Arial"/>
                <w:sz w:val="22"/>
                <w:szCs w:val="22"/>
              </w:rPr>
              <w:t xml:space="preserve">involves the provision of expert advice and support to the </w:t>
            </w:r>
            <w:r w:rsidR="00A71ED1" w:rsidRPr="00A94FF7">
              <w:rPr>
                <w:rFonts w:ascii="Arial" w:hAnsi="Arial" w:cs="Arial"/>
                <w:sz w:val="22"/>
                <w:szCs w:val="22"/>
              </w:rPr>
              <w:t xml:space="preserve">Director </w:t>
            </w:r>
            <w:r w:rsidR="003B2021">
              <w:rPr>
                <w:rFonts w:ascii="Arial" w:hAnsi="Arial" w:cs="Arial"/>
                <w:sz w:val="22"/>
                <w:szCs w:val="22"/>
              </w:rPr>
              <w:t xml:space="preserve">– Finance &amp; Investment </w:t>
            </w:r>
            <w:r w:rsidR="00A71ED1" w:rsidRPr="00A94FF7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3B2021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A71ED1" w:rsidRPr="00A94FF7">
              <w:rPr>
                <w:rFonts w:ascii="Arial" w:hAnsi="Arial" w:cs="Arial"/>
                <w:sz w:val="22"/>
                <w:szCs w:val="22"/>
              </w:rPr>
              <w:t>Executive Team</w:t>
            </w:r>
            <w:r w:rsidR="0044347D" w:rsidRPr="00A94FF7">
              <w:rPr>
                <w:rFonts w:ascii="Arial" w:hAnsi="Arial" w:cs="Arial"/>
                <w:sz w:val="22"/>
                <w:szCs w:val="22"/>
              </w:rPr>
              <w:t>, horizon scanning and seeking external inputs to ensure greatest value is brought to these functions</w:t>
            </w:r>
            <w:r w:rsidR="00B647E8" w:rsidRPr="00A94F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2021">
              <w:rPr>
                <w:rFonts w:ascii="Arial" w:hAnsi="Arial" w:cs="Arial"/>
                <w:sz w:val="22"/>
                <w:szCs w:val="22"/>
              </w:rPr>
              <w:t>whilst</w:t>
            </w:r>
            <w:r w:rsidR="00B647E8" w:rsidRPr="00A94FF7">
              <w:rPr>
                <w:rFonts w:ascii="Arial" w:hAnsi="Arial" w:cs="Arial"/>
                <w:sz w:val="22"/>
                <w:szCs w:val="22"/>
              </w:rPr>
              <w:t xml:space="preserve"> proactively identifying st</w:t>
            </w:r>
            <w:r w:rsidR="00B647E8" w:rsidRPr="00A94FF7">
              <w:rPr>
                <w:rFonts w:ascii="Arial" w:hAnsi="Arial" w:cs="Arial"/>
                <w:color w:val="000000"/>
                <w:sz w:val="22"/>
                <w:szCs w:val="22"/>
              </w:rPr>
              <w:t>rategic risks and putting in place plans to mitigate or eliminate them.</w:t>
            </w:r>
            <w:r w:rsidR="0044347D" w:rsidRPr="00A94F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7E46405" w14:textId="00780A6E" w:rsidR="00BA7865" w:rsidRPr="00A94FF7" w:rsidRDefault="00BA7865" w:rsidP="00BA7865">
            <w:pPr>
              <w:pStyle w:val="ListParagraph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AE" w:rsidRPr="009B57EB" w14:paraId="4D5F3351" w14:textId="77777777" w:rsidTr="2B55E34B">
        <w:trPr>
          <w:trHeight w:val="537"/>
        </w:trPr>
        <w:tc>
          <w:tcPr>
            <w:tcW w:w="1105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60D1E0"/>
            <w:vAlign w:val="center"/>
            <w:hideMark/>
          </w:tcPr>
          <w:p w14:paraId="3F4B789F" w14:textId="703652E4" w:rsidR="001F0AAE" w:rsidRPr="009B57EB" w:rsidRDefault="005837B8" w:rsidP="0020120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9B57E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Key working relationships </w:t>
            </w:r>
          </w:p>
        </w:tc>
      </w:tr>
      <w:tr w:rsidR="008A76A1" w:rsidRPr="009B57EB" w14:paraId="21C0FAA6" w14:textId="77777777" w:rsidTr="2B55E34B">
        <w:trPr>
          <w:trHeight w:val="400"/>
        </w:trPr>
        <w:tc>
          <w:tcPr>
            <w:tcW w:w="1105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A9DD6E4" w14:textId="69A844C8" w:rsidR="00712168" w:rsidRPr="00727A5A" w:rsidRDefault="003F2945" w:rsidP="00AA66B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7A5A">
              <w:rPr>
                <w:rFonts w:ascii="Arial" w:hAnsi="Arial" w:cs="Arial"/>
                <w:bCs/>
                <w:sz w:val="22"/>
                <w:szCs w:val="22"/>
              </w:rPr>
              <w:t xml:space="preserve">The role holder </w:t>
            </w:r>
            <w:r w:rsidR="005664DD" w:rsidRPr="00727A5A">
              <w:rPr>
                <w:rFonts w:ascii="Arial" w:hAnsi="Arial" w:cs="Arial"/>
                <w:bCs/>
                <w:sz w:val="22"/>
                <w:szCs w:val="22"/>
              </w:rPr>
              <w:t>directly</w:t>
            </w:r>
            <w:r w:rsidRPr="00727A5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6454A" w:rsidRPr="00727A5A">
              <w:rPr>
                <w:rFonts w:ascii="Arial" w:hAnsi="Arial" w:cs="Arial"/>
                <w:bCs/>
                <w:sz w:val="22"/>
                <w:szCs w:val="22"/>
              </w:rPr>
              <w:t>li</w:t>
            </w:r>
            <w:r w:rsidR="00443F31" w:rsidRPr="00727A5A">
              <w:rPr>
                <w:rFonts w:ascii="Arial" w:hAnsi="Arial" w:cs="Arial"/>
                <w:bCs/>
                <w:sz w:val="22"/>
                <w:szCs w:val="22"/>
              </w:rPr>
              <w:t>ne manage</w:t>
            </w:r>
            <w:r w:rsidR="005664DD" w:rsidRPr="00727A5A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443F31" w:rsidRPr="00727A5A">
              <w:rPr>
                <w:rFonts w:ascii="Arial" w:hAnsi="Arial" w:cs="Arial"/>
                <w:bCs/>
                <w:sz w:val="22"/>
                <w:szCs w:val="22"/>
              </w:rPr>
              <w:t xml:space="preserve"> the Business Partners for Treasury &amp; Tax</w:t>
            </w:r>
            <w:r w:rsidR="00727A5A" w:rsidRPr="00727A5A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9829F3">
              <w:rPr>
                <w:rFonts w:ascii="Arial" w:hAnsi="Arial" w:cs="Arial"/>
                <w:bCs/>
                <w:sz w:val="22"/>
                <w:szCs w:val="22"/>
              </w:rPr>
              <w:t xml:space="preserve">and </w:t>
            </w:r>
            <w:r w:rsidR="00AE1E88" w:rsidRPr="00727A5A">
              <w:rPr>
                <w:rFonts w:ascii="Arial" w:hAnsi="Arial" w:cs="Arial"/>
                <w:bCs/>
                <w:sz w:val="22"/>
                <w:szCs w:val="22"/>
              </w:rPr>
              <w:t xml:space="preserve">Financial </w:t>
            </w:r>
            <w:r w:rsidR="00C5341B" w:rsidRPr="00727A5A">
              <w:rPr>
                <w:rFonts w:ascii="Arial" w:hAnsi="Arial" w:cs="Arial"/>
                <w:bCs/>
                <w:sz w:val="22"/>
                <w:szCs w:val="22"/>
              </w:rPr>
              <w:t>Planning.</w:t>
            </w:r>
            <w:r w:rsidR="00443F31" w:rsidRPr="00727A5A">
              <w:rPr>
                <w:rFonts w:ascii="Arial" w:hAnsi="Arial" w:cs="Arial"/>
                <w:bCs/>
                <w:sz w:val="22"/>
                <w:szCs w:val="22"/>
              </w:rPr>
              <w:t xml:space="preserve"> T</w:t>
            </w:r>
            <w:r w:rsidR="0066454A" w:rsidRPr="00727A5A">
              <w:rPr>
                <w:rFonts w:ascii="Arial" w:hAnsi="Arial" w:cs="Arial"/>
                <w:bCs/>
                <w:sz w:val="22"/>
                <w:szCs w:val="22"/>
              </w:rPr>
              <w:t>his involves leading and developing direct reports, ensuring they have the capacity and capability t</w:t>
            </w:r>
            <w:r w:rsidR="00FC1641" w:rsidRPr="00727A5A">
              <w:rPr>
                <w:rFonts w:ascii="Arial" w:hAnsi="Arial" w:cs="Arial"/>
                <w:bCs/>
                <w:sz w:val="22"/>
                <w:szCs w:val="22"/>
              </w:rPr>
              <w:t xml:space="preserve">o deliver </w:t>
            </w:r>
            <w:r w:rsidR="007F4480" w:rsidRPr="00727A5A">
              <w:rPr>
                <w:rFonts w:ascii="Arial" w:hAnsi="Arial" w:cs="Arial"/>
                <w:bCs/>
                <w:sz w:val="22"/>
                <w:szCs w:val="22"/>
              </w:rPr>
              <w:t xml:space="preserve">ongoing </w:t>
            </w:r>
            <w:r w:rsidR="00FC1641" w:rsidRPr="00727A5A">
              <w:rPr>
                <w:rFonts w:ascii="Arial" w:hAnsi="Arial" w:cs="Arial"/>
                <w:bCs/>
                <w:sz w:val="22"/>
                <w:szCs w:val="22"/>
              </w:rPr>
              <w:t xml:space="preserve">operational plans </w:t>
            </w:r>
            <w:r w:rsidR="00B67863">
              <w:rPr>
                <w:rFonts w:ascii="Arial" w:hAnsi="Arial" w:cs="Arial"/>
                <w:bCs/>
                <w:sz w:val="22"/>
                <w:szCs w:val="22"/>
              </w:rPr>
              <w:t>and</w:t>
            </w:r>
            <w:r w:rsidR="00FC1641" w:rsidRPr="00727A5A">
              <w:rPr>
                <w:rFonts w:ascii="Arial" w:hAnsi="Arial" w:cs="Arial"/>
                <w:bCs/>
                <w:sz w:val="22"/>
                <w:szCs w:val="22"/>
              </w:rPr>
              <w:t xml:space="preserve"> a high quality, forward focused service.  </w:t>
            </w:r>
          </w:p>
          <w:p w14:paraId="62FABF15" w14:textId="7FCC0407" w:rsidR="00360CC7" w:rsidRPr="00424057" w:rsidRDefault="00360CC7" w:rsidP="0081495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The holder is required to interact with</w:t>
            </w:r>
            <w:r w:rsidR="00727A5A">
              <w:rPr>
                <w:rFonts w:ascii="Arial" w:hAnsi="Arial" w:cs="Arial"/>
                <w:bCs/>
                <w:sz w:val="22"/>
                <w:szCs w:val="22"/>
              </w:rPr>
              <w:t xml:space="preserve"> all functions across the Group</w:t>
            </w:r>
            <w:r w:rsidR="005F1001">
              <w:rPr>
                <w:rFonts w:ascii="Arial" w:hAnsi="Arial" w:cs="Arial"/>
                <w:bCs/>
                <w:sz w:val="22"/>
                <w:szCs w:val="22"/>
              </w:rPr>
              <w:t>, including the Executive Directors,</w:t>
            </w:r>
            <w:r w:rsidR="00727A5A">
              <w:rPr>
                <w:rFonts w:ascii="Arial" w:hAnsi="Arial" w:cs="Arial"/>
                <w:bCs/>
                <w:sz w:val="22"/>
                <w:szCs w:val="22"/>
              </w:rPr>
              <w:t xml:space="preserve"> with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particular </w:t>
            </w:r>
            <w:r w:rsidR="00727A5A">
              <w:rPr>
                <w:rFonts w:ascii="Arial" w:hAnsi="Arial" w:cs="Arial"/>
                <w:bCs/>
                <w:sz w:val="22"/>
                <w:szCs w:val="22"/>
              </w:rPr>
              <w:t xml:space="preserve">emphasis on </w:t>
            </w:r>
            <w:r w:rsidR="005F1001">
              <w:rPr>
                <w:rFonts w:ascii="Arial" w:hAnsi="Arial" w:cs="Arial"/>
                <w:bCs/>
                <w:sz w:val="22"/>
                <w:szCs w:val="22"/>
              </w:rPr>
              <w:t xml:space="preserve">liaison with the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Development </w:t>
            </w:r>
            <w:r w:rsidR="005F1001">
              <w:rPr>
                <w:rFonts w:ascii="Arial" w:hAnsi="Arial" w:cs="Arial"/>
                <w:bCs/>
                <w:sz w:val="22"/>
                <w:szCs w:val="22"/>
              </w:rPr>
              <w:t xml:space="preserve">Team and Assets Team.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1BAD1AF" w14:textId="77777777" w:rsidR="00781C6F" w:rsidRDefault="00A71ED1" w:rsidP="0078409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84097">
              <w:rPr>
                <w:rFonts w:ascii="Arial" w:hAnsi="Arial" w:cs="Arial"/>
                <w:bCs/>
                <w:sz w:val="22"/>
                <w:szCs w:val="22"/>
              </w:rPr>
              <w:t xml:space="preserve">External to the Group, the holder is required to form key stakeholder relationships with HMRC, </w:t>
            </w:r>
            <w:r w:rsidR="00CC20EE">
              <w:rPr>
                <w:rFonts w:ascii="Arial" w:hAnsi="Arial" w:cs="Arial"/>
                <w:bCs/>
                <w:sz w:val="22"/>
                <w:szCs w:val="22"/>
              </w:rPr>
              <w:t xml:space="preserve">Tax </w:t>
            </w:r>
            <w:r w:rsidRPr="00784097">
              <w:rPr>
                <w:rFonts w:ascii="Arial" w:hAnsi="Arial" w:cs="Arial"/>
                <w:bCs/>
                <w:sz w:val="22"/>
                <w:szCs w:val="22"/>
              </w:rPr>
              <w:t>and Treasury Advisors</w:t>
            </w:r>
            <w:r w:rsidR="00CC20EE">
              <w:rPr>
                <w:rFonts w:ascii="Arial" w:hAnsi="Arial" w:cs="Arial"/>
                <w:bCs/>
                <w:sz w:val="22"/>
                <w:szCs w:val="22"/>
              </w:rPr>
              <w:t xml:space="preserve">, external and internal auditors and KMBC </w:t>
            </w:r>
            <w:r w:rsidRPr="00784097">
              <w:rPr>
                <w:rFonts w:ascii="Arial" w:hAnsi="Arial" w:cs="Arial"/>
                <w:bCs/>
                <w:sz w:val="22"/>
                <w:szCs w:val="22"/>
              </w:rPr>
              <w:t xml:space="preserve">to ensure quality </w:t>
            </w:r>
            <w:r w:rsidR="00781C6F">
              <w:rPr>
                <w:rFonts w:ascii="Arial" w:hAnsi="Arial" w:cs="Arial"/>
                <w:bCs/>
                <w:sz w:val="22"/>
                <w:szCs w:val="22"/>
              </w:rPr>
              <w:t xml:space="preserve">of input from </w:t>
            </w:r>
            <w:r w:rsidRPr="00784097">
              <w:rPr>
                <w:rFonts w:ascii="Arial" w:hAnsi="Arial" w:cs="Arial"/>
                <w:bCs/>
                <w:sz w:val="22"/>
                <w:szCs w:val="22"/>
              </w:rPr>
              <w:t xml:space="preserve">partners to </w:t>
            </w:r>
            <w:r w:rsidR="00781C6F">
              <w:rPr>
                <w:rFonts w:ascii="Arial" w:hAnsi="Arial" w:cs="Arial"/>
                <w:bCs/>
                <w:sz w:val="22"/>
                <w:szCs w:val="22"/>
              </w:rPr>
              <w:t xml:space="preserve">support the </w:t>
            </w:r>
            <w:r w:rsidRPr="00784097">
              <w:rPr>
                <w:rFonts w:ascii="Arial" w:hAnsi="Arial" w:cs="Arial"/>
                <w:bCs/>
                <w:sz w:val="22"/>
                <w:szCs w:val="22"/>
              </w:rPr>
              <w:t>deliver</w:t>
            </w:r>
            <w:r w:rsidR="00781C6F">
              <w:rPr>
                <w:rFonts w:ascii="Arial" w:hAnsi="Arial" w:cs="Arial"/>
                <w:bCs/>
                <w:sz w:val="22"/>
                <w:szCs w:val="22"/>
              </w:rPr>
              <w:t>y of</w:t>
            </w:r>
            <w:r w:rsidRPr="00784097">
              <w:rPr>
                <w:rFonts w:ascii="Arial" w:hAnsi="Arial" w:cs="Arial"/>
                <w:bCs/>
                <w:sz w:val="22"/>
                <w:szCs w:val="22"/>
              </w:rPr>
              <w:t xml:space="preserve"> the Group’s objectives</w:t>
            </w:r>
            <w:r w:rsidR="00781C6F">
              <w:rPr>
                <w:rFonts w:ascii="Arial" w:hAnsi="Arial" w:cs="Arial"/>
                <w:bCs/>
                <w:sz w:val="22"/>
                <w:szCs w:val="22"/>
              </w:rPr>
              <w:t xml:space="preserve">.  </w:t>
            </w:r>
          </w:p>
          <w:p w14:paraId="1C0E92B6" w14:textId="43900A0F" w:rsidR="00727A5A" w:rsidRPr="002B720E" w:rsidRDefault="00781C6F" w:rsidP="004474A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holder is also required</w:t>
            </w:r>
            <w:r w:rsidR="00A71ED1" w:rsidRPr="00784097">
              <w:rPr>
                <w:rFonts w:ascii="Arial" w:hAnsi="Arial" w:cs="Arial"/>
                <w:bCs/>
                <w:sz w:val="22"/>
                <w:szCs w:val="22"/>
              </w:rPr>
              <w:t xml:space="preserve"> to liaise with lenders to provide compliance and business information and to act as the primary liaison with the Housing Regulator in the provision of compliance and reporting information. </w:t>
            </w:r>
          </w:p>
        </w:tc>
      </w:tr>
      <w:tr w:rsidR="001F0AAE" w:rsidRPr="009B57EB" w14:paraId="5495DCDF" w14:textId="77777777" w:rsidTr="2B55E34B">
        <w:trPr>
          <w:trHeight w:val="400"/>
        </w:trPr>
        <w:tc>
          <w:tcPr>
            <w:tcW w:w="1105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60D1E0"/>
            <w:vAlign w:val="center"/>
            <w:hideMark/>
          </w:tcPr>
          <w:p w14:paraId="19AE739C" w14:textId="37CB4A32" w:rsidR="001F0AAE" w:rsidRPr="009B57EB" w:rsidRDefault="005837B8" w:rsidP="001F0AA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9B57E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Main duties &amp; responsibilities</w:t>
            </w:r>
          </w:p>
        </w:tc>
      </w:tr>
      <w:tr w:rsidR="00672D20" w:rsidRPr="009B57EB" w14:paraId="36F8CB7D" w14:textId="77777777" w:rsidTr="2B55E34B">
        <w:trPr>
          <w:trHeight w:val="1000"/>
        </w:trPr>
        <w:tc>
          <w:tcPr>
            <w:tcW w:w="1105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83FEC8" w14:textId="5C5E55C9" w:rsidR="00B12CF5" w:rsidRDefault="00B12CF5" w:rsidP="00791AB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" w:eastAsia="en-GB"/>
              </w:rPr>
              <w:t>Support development of strategies</w:t>
            </w:r>
            <w:r w:rsidR="00E54D83">
              <w:rPr>
                <w:rFonts w:ascii="Arial" w:hAnsi="Arial" w:cs="Arial"/>
                <w:color w:val="000000"/>
                <w:sz w:val="22"/>
                <w:szCs w:val="22"/>
                <w:lang w:val="en" w:eastAsia="en-GB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" w:eastAsia="en-GB"/>
              </w:rPr>
              <w:t xml:space="preserve"> </w:t>
            </w:r>
            <w:r w:rsidR="00786004">
              <w:rPr>
                <w:rFonts w:ascii="Arial" w:hAnsi="Arial" w:cs="Arial"/>
                <w:color w:val="000000"/>
                <w:sz w:val="22"/>
                <w:szCs w:val="22"/>
                <w:lang w:val="en" w:eastAsia="en-GB"/>
              </w:rPr>
              <w:t xml:space="preserve">formulate </w:t>
            </w:r>
            <w:r w:rsidR="00C0702B">
              <w:rPr>
                <w:rFonts w:ascii="Arial" w:hAnsi="Arial" w:cs="Arial"/>
                <w:color w:val="000000"/>
                <w:sz w:val="22"/>
                <w:szCs w:val="22"/>
                <w:lang w:val="en" w:eastAsia="en-GB"/>
              </w:rPr>
              <w:t xml:space="preserve">and control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" w:eastAsia="en-GB"/>
              </w:rPr>
              <w:t xml:space="preserve">operational plans </w:t>
            </w:r>
            <w:r w:rsidR="0013005B">
              <w:rPr>
                <w:rFonts w:ascii="Arial" w:hAnsi="Arial" w:cs="Arial"/>
                <w:color w:val="000000"/>
                <w:sz w:val="22"/>
                <w:szCs w:val="22"/>
                <w:lang w:val="en" w:eastAsia="en-GB"/>
              </w:rPr>
              <w:t xml:space="preserve">and policies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" w:eastAsia="en-GB"/>
              </w:rPr>
              <w:t xml:space="preserve">for Treasury, Tax, Investment and </w:t>
            </w:r>
            <w:r w:rsidR="0013005B">
              <w:rPr>
                <w:rFonts w:ascii="Arial" w:hAnsi="Arial" w:cs="Arial"/>
                <w:color w:val="000000"/>
                <w:sz w:val="22"/>
                <w:szCs w:val="22"/>
                <w:lang w:val="en" w:eastAsia="en-GB"/>
              </w:rPr>
              <w:t xml:space="preserve">Rent and Service Charges </w:t>
            </w:r>
            <w:r w:rsidR="00C5341B">
              <w:rPr>
                <w:rFonts w:ascii="Arial" w:hAnsi="Arial" w:cs="Arial"/>
                <w:color w:val="000000"/>
                <w:sz w:val="22"/>
                <w:szCs w:val="22"/>
                <w:lang w:val="en" w:eastAsia="en-GB"/>
              </w:rPr>
              <w:t>- these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" w:eastAsia="en-GB"/>
              </w:rPr>
              <w:t xml:space="preserve"> strategies</w:t>
            </w:r>
            <w:r w:rsidR="00E54D83">
              <w:rPr>
                <w:rFonts w:ascii="Arial" w:hAnsi="Arial" w:cs="Arial"/>
                <w:color w:val="000000"/>
                <w:sz w:val="22"/>
                <w:szCs w:val="22"/>
                <w:lang w:val="en" w:eastAsia="en-GB"/>
              </w:rPr>
              <w:t>, plans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" w:eastAsia="en-GB"/>
              </w:rPr>
              <w:t xml:space="preserve"> </w:t>
            </w:r>
            <w:r w:rsidR="00EC7F67">
              <w:rPr>
                <w:rFonts w:ascii="Arial" w:hAnsi="Arial" w:cs="Arial"/>
                <w:color w:val="000000"/>
                <w:sz w:val="22"/>
                <w:szCs w:val="22"/>
                <w:lang w:val="en" w:eastAsia="en-GB"/>
              </w:rPr>
              <w:t>and polic</w:t>
            </w:r>
            <w:r w:rsidR="00E54D83">
              <w:rPr>
                <w:rFonts w:ascii="Arial" w:hAnsi="Arial" w:cs="Arial"/>
                <w:color w:val="000000"/>
                <w:sz w:val="22"/>
                <w:szCs w:val="22"/>
                <w:lang w:val="en" w:eastAsia="en-GB"/>
              </w:rPr>
              <w:t>i</w:t>
            </w:r>
            <w:r w:rsidR="00EC7F67">
              <w:rPr>
                <w:rFonts w:ascii="Arial" w:hAnsi="Arial" w:cs="Arial"/>
                <w:color w:val="000000"/>
                <w:sz w:val="22"/>
                <w:szCs w:val="22"/>
                <w:lang w:val="en" w:eastAsia="en-GB"/>
              </w:rPr>
              <w:t xml:space="preserve">es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" w:eastAsia="en-GB"/>
              </w:rPr>
              <w:t xml:space="preserve">together underpin the Group’s compliance with the Rent Standard and the Financial Viability elements of the G&amp;FV Standard. </w:t>
            </w:r>
          </w:p>
          <w:p w14:paraId="0C79C32E" w14:textId="7079AD52" w:rsidR="00F2584C" w:rsidRPr="003522FB" w:rsidRDefault="00143DFC" w:rsidP="00791AB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" w:eastAsia="en-GB"/>
              </w:rPr>
            </w:pPr>
            <w:r w:rsidRPr="003522FB">
              <w:rPr>
                <w:rFonts w:ascii="Arial" w:hAnsi="Arial" w:cs="Arial"/>
                <w:color w:val="000000"/>
                <w:sz w:val="22"/>
                <w:szCs w:val="22"/>
                <w:lang w:val="en" w:eastAsia="en-GB"/>
              </w:rPr>
              <w:t>Ensure</w:t>
            </w:r>
            <w:r w:rsidR="00FB29B5" w:rsidRPr="003522FB">
              <w:rPr>
                <w:rFonts w:ascii="Arial" w:hAnsi="Arial" w:cs="Arial"/>
                <w:color w:val="000000"/>
                <w:sz w:val="22"/>
                <w:szCs w:val="22"/>
                <w:lang w:val="en" w:eastAsia="en-GB"/>
              </w:rPr>
              <w:t xml:space="preserve"> the effective delivery of </w:t>
            </w:r>
            <w:r w:rsidR="002B0728" w:rsidRPr="003522FB">
              <w:rPr>
                <w:rFonts w:ascii="Arial" w:hAnsi="Arial" w:cs="Arial"/>
                <w:color w:val="000000"/>
                <w:sz w:val="22"/>
                <w:szCs w:val="22"/>
                <w:lang w:val="en" w:eastAsia="en-GB"/>
              </w:rPr>
              <w:t xml:space="preserve">all </w:t>
            </w:r>
            <w:r w:rsidR="00FB29B5" w:rsidRPr="003522FB">
              <w:rPr>
                <w:rFonts w:ascii="Arial" w:hAnsi="Arial" w:cs="Arial"/>
                <w:color w:val="000000"/>
                <w:sz w:val="22"/>
                <w:szCs w:val="22"/>
                <w:lang w:val="en" w:eastAsia="en-GB"/>
              </w:rPr>
              <w:t xml:space="preserve">activities </w:t>
            </w:r>
            <w:r w:rsidR="00F2584C" w:rsidRPr="003522FB">
              <w:rPr>
                <w:rFonts w:ascii="Arial" w:hAnsi="Arial" w:cs="Arial"/>
                <w:color w:val="000000"/>
                <w:sz w:val="22"/>
                <w:szCs w:val="22"/>
                <w:lang w:val="en" w:eastAsia="en-GB"/>
              </w:rPr>
              <w:t>within the role’</w:t>
            </w:r>
            <w:r w:rsidR="00E27681">
              <w:rPr>
                <w:rFonts w:ascii="Arial" w:hAnsi="Arial" w:cs="Arial"/>
                <w:color w:val="000000"/>
                <w:sz w:val="22"/>
                <w:szCs w:val="22"/>
                <w:lang w:val="en" w:eastAsia="en-GB"/>
              </w:rPr>
              <w:t>s remit</w:t>
            </w:r>
            <w:r w:rsidR="00823B2B">
              <w:rPr>
                <w:rFonts w:ascii="Arial" w:hAnsi="Arial" w:cs="Arial"/>
                <w:color w:val="000000"/>
                <w:sz w:val="22"/>
                <w:szCs w:val="22"/>
                <w:lang w:val="en" w:eastAsia="en-GB"/>
              </w:rPr>
              <w:t>,</w:t>
            </w:r>
            <w:r w:rsidR="00E27681">
              <w:rPr>
                <w:rFonts w:ascii="Arial" w:hAnsi="Arial" w:cs="Arial"/>
                <w:color w:val="000000"/>
                <w:sz w:val="22"/>
                <w:szCs w:val="22"/>
                <w:lang w:val="en" w:eastAsia="en-GB"/>
              </w:rPr>
              <w:t xml:space="preserve"> based on </w:t>
            </w:r>
            <w:r w:rsidR="00C5341B" w:rsidRPr="003522F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clearly</w:t>
            </w:r>
            <w:r w:rsidR="00AD599F" w:rsidRPr="003522F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articulated and widely understood operational plan</w:t>
            </w:r>
            <w:r w:rsidR="003522FB" w:rsidRPr="003522F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s</w:t>
            </w:r>
            <w:r w:rsidR="00AD599F" w:rsidRPr="003522F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3522FB" w:rsidRPr="003522F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that link</w:t>
            </w:r>
            <w:r w:rsidR="00AD599F" w:rsidRPr="003522F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to the Group's Vision, M</w:t>
            </w:r>
            <w:r w:rsidR="00823B2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ission, Values, </w:t>
            </w:r>
            <w:proofErr w:type="gramStart"/>
            <w:r w:rsidR="00823B2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objectives</w:t>
            </w:r>
            <w:proofErr w:type="gramEnd"/>
            <w:r w:rsidR="00823B2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and o</w:t>
            </w:r>
            <w:r w:rsidR="00AD599F" w:rsidRPr="003522F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perational plans.</w:t>
            </w:r>
          </w:p>
          <w:p w14:paraId="624529EF" w14:textId="1966E2E0" w:rsidR="00FB29B5" w:rsidRPr="00FB29B5" w:rsidRDefault="004B0063" w:rsidP="00FB29B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" w:eastAsia="en-GB"/>
              </w:rPr>
              <w:t>Oversee the</w:t>
            </w:r>
            <w:r w:rsidR="00FB29B5" w:rsidRPr="00FB29B5">
              <w:rPr>
                <w:rFonts w:ascii="Arial" w:hAnsi="Arial" w:cs="Arial"/>
                <w:color w:val="000000"/>
                <w:sz w:val="22"/>
                <w:szCs w:val="22"/>
                <w:lang w:val="en" w:eastAsia="en-GB"/>
              </w:rPr>
              <w:t xml:space="preserve"> </w:t>
            </w:r>
            <w:r w:rsidR="00C0702B">
              <w:rPr>
                <w:rFonts w:ascii="Arial" w:hAnsi="Arial" w:cs="Arial"/>
                <w:color w:val="000000"/>
                <w:sz w:val="22"/>
                <w:szCs w:val="22"/>
                <w:lang w:val="en" w:eastAsia="en-GB"/>
              </w:rPr>
              <w:t xml:space="preserve">maintenance and control of </w:t>
            </w:r>
            <w:r w:rsidR="00823B2B">
              <w:rPr>
                <w:rFonts w:ascii="Arial" w:hAnsi="Arial" w:cs="Arial"/>
                <w:color w:val="000000"/>
                <w:sz w:val="22"/>
                <w:szCs w:val="22"/>
                <w:lang w:val="en" w:eastAsia="en-GB"/>
              </w:rPr>
              <w:t>the Group F</w:t>
            </w:r>
            <w:r w:rsidR="00F2584C">
              <w:rPr>
                <w:rFonts w:ascii="Arial" w:hAnsi="Arial" w:cs="Arial"/>
                <w:color w:val="000000"/>
                <w:sz w:val="22"/>
                <w:szCs w:val="22"/>
                <w:lang w:val="en" w:eastAsia="en-GB"/>
              </w:rPr>
              <w:t>inancial Plan</w:t>
            </w:r>
            <w:r w:rsidR="003A6269">
              <w:rPr>
                <w:rFonts w:ascii="Arial" w:hAnsi="Arial" w:cs="Arial"/>
                <w:color w:val="000000"/>
                <w:sz w:val="22"/>
                <w:szCs w:val="22"/>
                <w:lang w:val="en" w:eastAsia="en-GB"/>
              </w:rPr>
              <w:t>,</w:t>
            </w:r>
            <w:r w:rsidR="00F2584C">
              <w:rPr>
                <w:rFonts w:ascii="Arial" w:hAnsi="Arial" w:cs="Arial"/>
                <w:color w:val="000000"/>
                <w:sz w:val="22"/>
                <w:szCs w:val="22"/>
                <w:lang w:val="en" w:eastAsia="en-GB"/>
              </w:rPr>
              <w:t xml:space="preserve"> associated </w:t>
            </w:r>
            <w:r w:rsidR="00FB29B5" w:rsidRPr="00FB29B5">
              <w:rPr>
                <w:rFonts w:ascii="Arial" w:hAnsi="Arial" w:cs="Arial"/>
                <w:color w:val="000000"/>
                <w:sz w:val="22"/>
                <w:szCs w:val="22"/>
                <w:lang w:val="en" w:eastAsia="en-GB"/>
              </w:rPr>
              <w:t>stress testing</w:t>
            </w:r>
            <w:r w:rsidR="003A6269">
              <w:rPr>
                <w:rFonts w:ascii="Arial" w:hAnsi="Arial" w:cs="Arial"/>
                <w:color w:val="000000"/>
                <w:sz w:val="22"/>
                <w:szCs w:val="22"/>
                <w:lang w:val="en" w:eastAsia="en-GB"/>
              </w:rPr>
              <w:t xml:space="preserve"> and mitigation plan</w:t>
            </w:r>
            <w:r w:rsidR="00D03622">
              <w:rPr>
                <w:rFonts w:ascii="Arial" w:hAnsi="Arial" w:cs="Arial"/>
                <w:color w:val="000000"/>
                <w:sz w:val="22"/>
                <w:szCs w:val="22"/>
                <w:lang w:val="en" w:eastAsia="en-GB"/>
              </w:rPr>
              <w:t>ning</w:t>
            </w:r>
            <w:r w:rsidR="00F2584C">
              <w:rPr>
                <w:rFonts w:ascii="Arial" w:hAnsi="Arial" w:cs="Arial"/>
                <w:color w:val="000000"/>
                <w:sz w:val="22"/>
                <w:szCs w:val="22"/>
                <w:lang w:val="en" w:eastAsia="en-GB"/>
              </w:rPr>
              <w:t xml:space="preserve">. </w:t>
            </w:r>
            <w:r w:rsidR="00FB29B5" w:rsidRPr="00FB29B5">
              <w:rPr>
                <w:rFonts w:ascii="Arial" w:hAnsi="Arial" w:cs="Arial"/>
                <w:color w:val="000000"/>
                <w:sz w:val="22"/>
                <w:szCs w:val="22"/>
                <w:lang w:val="en" w:eastAsia="en-GB"/>
              </w:rPr>
              <w:t xml:space="preserve"> </w:t>
            </w:r>
          </w:p>
          <w:p w14:paraId="748A382E" w14:textId="6E6E8E0A" w:rsidR="00074551" w:rsidRDefault="000225B5" w:rsidP="00FB29B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Develop and maintain the Rent model to ensure that the Group is charging appropriate, compliant rents whilst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optimi</w:t>
            </w:r>
            <w:r w:rsidR="007118B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ing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its current and future income stream. </w:t>
            </w:r>
          </w:p>
          <w:p w14:paraId="5B9C05C0" w14:textId="67A6CC1D" w:rsidR="000225B5" w:rsidRDefault="000225B5" w:rsidP="00FB29B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Lead Group initiatives to embed the Service Charge policy and procedures, together with proposals for the implementation of a new service charge system. </w:t>
            </w:r>
          </w:p>
          <w:p w14:paraId="4B583F17" w14:textId="42D0D300" w:rsidR="000225B5" w:rsidRDefault="00981240" w:rsidP="00FB29B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Ensure Group compliance with the Assets and Liabilities policy</w:t>
            </w:r>
            <w:r w:rsidR="00BE24B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and maintain the register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. </w:t>
            </w:r>
          </w:p>
          <w:p w14:paraId="3805FB6E" w14:textId="44A35E11" w:rsidR="00074551" w:rsidRPr="00981240" w:rsidRDefault="00981240" w:rsidP="0005692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98124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Define and maintain the Group’s accounting policies and financial regulations, ensuring that all changes and exemptions are appropriately approved. </w:t>
            </w:r>
          </w:p>
          <w:p w14:paraId="21C82256" w14:textId="37BC0BBA" w:rsidR="00FB29B5" w:rsidRPr="00FB29B5" w:rsidRDefault="00FC786E" w:rsidP="00FB29B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Support d</w:t>
            </w:r>
            <w:r w:rsidR="001E32D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evelop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ment of </w:t>
            </w:r>
            <w:r w:rsidR="00FB29B5" w:rsidRPr="00FB29B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the Group</w:t>
            </w:r>
            <w:r w:rsidR="001E32D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’s</w:t>
            </w:r>
            <w:r w:rsidR="00FB29B5" w:rsidRPr="00FB29B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Treasury Manage</w:t>
            </w:r>
            <w:r w:rsidR="001E32D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ment Strategy</w:t>
            </w:r>
            <w:r w:rsidR="00E93308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,</w:t>
            </w:r>
            <w:r w:rsidR="001E32D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3578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and </w:t>
            </w:r>
            <w:r w:rsidR="00E93308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develop and control </w:t>
            </w:r>
            <w:r w:rsidR="003578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associated processes, </w:t>
            </w:r>
            <w:r w:rsidR="00E93308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develop </w:t>
            </w:r>
            <w:r w:rsidR="0082373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treasury </w:t>
            </w:r>
            <w:r w:rsidR="00E93308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policy and </w:t>
            </w:r>
            <w:r w:rsidR="001E32D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oversee</w:t>
            </w:r>
            <w:r w:rsidR="003578D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its</w:t>
            </w:r>
            <w:r w:rsidR="001E32D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implementation</w:t>
            </w:r>
            <w:r w:rsidR="00FB29B5" w:rsidRPr="00FB29B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including any restructuring of </w:t>
            </w:r>
            <w:r w:rsidR="00084D27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the loan </w:t>
            </w:r>
            <w:r w:rsidR="00FB29B5" w:rsidRPr="00FB29B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portfolio and </w:t>
            </w:r>
            <w:r w:rsidR="00216AF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support the </w:t>
            </w:r>
            <w:r w:rsidR="00FB29B5" w:rsidRPr="00FB29B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raising of new finance. </w:t>
            </w:r>
          </w:p>
          <w:p w14:paraId="68756C2A" w14:textId="6FA3DDAD" w:rsidR="00FB29B5" w:rsidRPr="00FB29B5" w:rsidRDefault="00984BB9" w:rsidP="00FB29B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Oversee the development and maintenance of</w:t>
            </w:r>
            <w:r w:rsidR="00FB29B5" w:rsidRPr="00FB29B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robust systems and procedures for submitting accurate and timely loan covenant </w:t>
            </w:r>
            <w:r w:rsidR="00216AF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and other </w:t>
            </w:r>
            <w:r w:rsidR="00FB29B5" w:rsidRPr="00FB29B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returns to the Group's lenders.</w:t>
            </w:r>
          </w:p>
          <w:p w14:paraId="7BC3733A" w14:textId="55EF1A36" w:rsidR="00FB29B5" w:rsidRPr="00FB29B5" w:rsidRDefault="00FB29B5" w:rsidP="00FB29B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B29B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Prepare </w:t>
            </w:r>
            <w:r w:rsidR="00956ED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content for inclusion in the </w:t>
            </w:r>
            <w:r w:rsidRPr="00FB29B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monthly management accounts </w:t>
            </w:r>
            <w:r w:rsidR="00956ED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and Board reports</w:t>
            </w:r>
            <w:r w:rsidR="00476D99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as required</w:t>
            </w:r>
            <w:r w:rsidR="00956ED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. </w:t>
            </w:r>
          </w:p>
          <w:p w14:paraId="14286E76" w14:textId="441AA514" w:rsidR="00FB29B5" w:rsidRPr="00FB29B5" w:rsidRDefault="00FB29B5" w:rsidP="00FB29B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B29B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Ensure robust balance sheet m</w:t>
            </w:r>
            <w:r w:rsidR="00791CC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anagement processes are in place</w:t>
            </w:r>
            <w:r w:rsidR="00CC464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for tax</w:t>
            </w:r>
            <w:r w:rsidR="00A0636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, investment, rent</w:t>
            </w:r>
            <w:r w:rsidR="00CC464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and treasury balances</w:t>
            </w:r>
            <w:r w:rsidR="00791CC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.</w:t>
            </w:r>
          </w:p>
          <w:p w14:paraId="12933A8F" w14:textId="2E8B7A0F" w:rsidR="00FB29B5" w:rsidRPr="00FB29B5" w:rsidRDefault="002E0A7B" w:rsidP="00FB29B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Ensure</w:t>
            </w:r>
            <w:r w:rsidR="00FB29B5" w:rsidRPr="00FB29B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the Group's new homes development </w:t>
            </w:r>
            <w:proofErr w:type="spellStart"/>
            <w:r w:rsidR="00FB29B5" w:rsidRPr="00FB29B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programme</w:t>
            </w:r>
            <w:proofErr w:type="spellEnd"/>
            <w:r w:rsidR="00FB29B5" w:rsidRPr="00FB29B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is proactively supported</w:t>
            </w:r>
            <w:r w:rsidR="0077495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and controlled</w:t>
            </w:r>
            <w:r w:rsidR="00FB29B5" w:rsidRPr="00FB29B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, particularly taking ownership for </w:t>
            </w:r>
            <w:r w:rsidR="00815FC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associated </w:t>
            </w:r>
            <w:r w:rsidR="0077495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liquidity </w:t>
            </w:r>
            <w:r w:rsidR="008A069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management, and ensuring </w:t>
            </w:r>
            <w:r w:rsidR="00FB29B5" w:rsidRPr="00FB29B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financial appraisal model</w:t>
            </w:r>
            <w:r w:rsidR="00815FC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C5341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parameters </w:t>
            </w:r>
            <w:r w:rsidR="00C5341B" w:rsidRPr="00FB29B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are</w:t>
            </w:r>
            <w:r w:rsidR="008A069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adhered to.  </w:t>
            </w:r>
          </w:p>
          <w:p w14:paraId="14F34CDA" w14:textId="39622DFA" w:rsidR="00FB29B5" w:rsidRPr="00FB29B5" w:rsidRDefault="002E0A7B" w:rsidP="00FB29B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Ensure</w:t>
            </w:r>
            <w:r w:rsidR="00FB29B5" w:rsidRPr="00FB29B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the Group complies with </w:t>
            </w:r>
            <w:proofErr w:type="gramStart"/>
            <w:r w:rsidR="00FB29B5" w:rsidRPr="00FB29B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all of</w:t>
            </w:r>
            <w:proofErr w:type="gramEnd"/>
            <w:r w:rsidR="00FB29B5" w:rsidRPr="00FB29B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its regulatory VAT</w:t>
            </w:r>
            <w:r w:rsidR="00CC464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, Corporation Tax SDLT</w:t>
            </w:r>
            <w:r w:rsidR="00FB29B5" w:rsidRPr="00FB29B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obligations and develop and maintain strategies</w:t>
            </w:r>
            <w:r w:rsidR="00CC464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, policies</w:t>
            </w:r>
            <w:r w:rsidR="00FB29B5" w:rsidRPr="00FB29B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and procedures to </w:t>
            </w:r>
            <w:proofErr w:type="spellStart"/>
            <w:r w:rsidR="00FB29B5" w:rsidRPr="00FB29B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minimise</w:t>
            </w:r>
            <w:proofErr w:type="spellEnd"/>
            <w:r w:rsidR="00FB29B5" w:rsidRPr="00FB29B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the Group's tax liability. </w:t>
            </w:r>
          </w:p>
          <w:p w14:paraId="7B9BD6F5" w14:textId="0362658F" w:rsidR="00FB29B5" w:rsidRPr="00FB29B5" w:rsidRDefault="002E0A7B" w:rsidP="00FB29B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Deliver all r</w:t>
            </w:r>
            <w:r w:rsidR="00FB29B5" w:rsidRPr="00FB29B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egulatory submissions, ensuring they are reviewed and produced to high quality and on time with no </w:t>
            </w:r>
            <w:proofErr w:type="spellStart"/>
            <w:r w:rsidR="00FB29B5" w:rsidRPr="00FB29B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RoSH</w:t>
            </w:r>
            <w:proofErr w:type="spellEnd"/>
            <w:r w:rsidR="00FB29B5" w:rsidRPr="00FB29B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issues.</w:t>
            </w:r>
          </w:p>
          <w:p w14:paraId="249266BF" w14:textId="0EBD6EDD" w:rsidR="00FB29B5" w:rsidRPr="00FB29B5" w:rsidRDefault="00FB29B5" w:rsidP="00FB29B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B29B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Support the Year End Accounting &amp; Audit processes by preparing schedules for the Group</w:t>
            </w:r>
            <w:r w:rsidR="002A0E5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as directed</w:t>
            </w:r>
            <w:r w:rsidRPr="00FB29B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, thus ensuring a robust and timely deliverable of Audit sign off and Statutory Accounts filing.</w:t>
            </w:r>
          </w:p>
          <w:p w14:paraId="1F7C7D0A" w14:textId="3DCEB285" w:rsidR="00FB29B5" w:rsidRPr="00FB29B5" w:rsidRDefault="002E0A7B" w:rsidP="00FB29B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E</w:t>
            </w:r>
            <w:r w:rsidR="00FB29B5" w:rsidRPr="00FB29B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nsure risk, control and performance</w:t>
            </w:r>
            <w:r w:rsidR="0085181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, and data quality</w:t>
            </w:r>
            <w:r w:rsidR="00FB29B5" w:rsidRPr="00FB29B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are embedded within the Finance function </w:t>
            </w:r>
            <w:r w:rsidR="00432018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for areas of responsibility </w:t>
            </w:r>
            <w:r w:rsidR="00FB29B5" w:rsidRPr="00FB29B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and managed, monitored and reported in support of Group objectives.</w:t>
            </w:r>
          </w:p>
          <w:p w14:paraId="05D59F56" w14:textId="77777777" w:rsidR="00FB29B5" w:rsidRPr="00FB29B5" w:rsidRDefault="00FB29B5" w:rsidP="00FB29B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B29B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Identify and develop key external relationships that will enhance the provision of Finance support activities.</w:t>
            </w:r>
          </w:p>
          <w:p w14:paraId="6F4E4A48" w14:textId="4E5E09B2" w:rsidR="00FB29B5" w:rsidRPr="00FB29B5" w:rsidRDefault="00FB29B5" w:rsidP="00FB29B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B29B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Ensure </w:t>
            </w:r>
            <w:r w:rsidR="00E1512A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</w:t>
            </w:r>
            <w:r w:rsidRPr="00FB29B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business partnering approach to the provision of specialist Finance support activities</w:t>
            </w:r>
            <w:r w:rsidR="00E1512A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,</w:t>
            </w:r>
            <w:r w:rsidRPr="00FB29B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including commissioned requirements internally and externally for the Group and clarity over requirements and delivery.</w:t>
            </w:r>
          </w:p>
          <w:p w14:paraId="74A34772" w14:textId="7619D855" w:rsidR="001629B4" w:rsidRPr="001629B4" w:rsidRDefault="001629B4" w:rsidP="00FB29B5">
            <w:pPr>
              <w:pStyle w:val="Legal2"/>
              <w:numPr>
                <w:ilvl w:val="0"/>
                <w:numId w:val="2"/>
              </w:numPr>
              <w:spacing w:after="0"/>
              <w:jc w:val="left"/>
              <w:rPr>
                <w:rFonts w:cs="Arial"/>
                <w:bCs/>
                <w:sz w:val="22"/>
                <w:szCs w:val="22"/>
              </w:rPr>
            </w:pPr>
            <w:r w:rsidRPr="00FB29B5">
              <w:rPr>
                <w:rFonts w:cs="Arial"/>
                <w:bCs/>
                <w:sz w:val="22"/>
                <w:szCs w:val="22"/>
              </w:rPr>
              <w:t>Complete any other tasks as commensurate with the level and nature of the post as delegated by the role’s line manager.</w:t>
            </w:r>
            <w:r w:rsidRPr="001629B4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</w:tbl>
    <w:p w14:paraId="33926F2D" w14:textId="3EB90329" w:rsidR="00854A89" w:rsidRPr="009B57EB" w:rsidRDefault="00854A89" w:rsidP="00B7390F">
      <w:pPr>
        <w:pStyle w:val="Subtitle"/>
        <w:spacing w:before="120" w:after="120"/>
        <w:ind w:right="888"/>
        <w:jc w:val="left"/>
        <w:rPr>
          <w:rFonts w:ascii="Arial" w:hAnsi="Arial" w:cs="Arial"/>
          <w:b w:val="0"/>
          <w:bCs/>
          <w:color w:val="FFFFFF"/>
          <w:sz w:val="22"/>
          <w:szCs w:val="22"/>
        </w:rPr>
      </w:pPr>
    </w:p>
    <w:tbl>
      <w:tblPr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2632C1" w:rsidRPr="009B57EB" w14:paraId="18A1C974" w14:textId="77777777" w:rsidTr="005837B8">
        <w:trPr>
          <w:trHeight w:val="400"/>
        </w:trPr>
        <w:tc>
          <w:tcPr>
            <w:tcW w:w="1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60D1E0"/>
            <w:vAlign w:val="center"/>
          </w:tcPr>
          <w:p w14:paraId="44194611" w14:textId="66DFDCBC" w:rsidR="002632C1" w:rsidRPr="009B57EB" w:rsidRDefault="005837B8" w:rsidP="00065AB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9B57E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Key measures of success</w:t>
            </w:r>
          </w:p>
        </w:tc>
      </w:tr>
      <w:tr w:rsidR="002632C1" w:rsidRPr="009B57EB" w14:paraId="1E018F94" w14:textId="77777777" w:rsidTr="00487770">
        <w:trPr>
          <w:trHeight w:val="699"/>
        </w:trPr>
        <w:tc>
          <w:tcPr>
            <w:tcW w:w="1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BECE9E7" w14:textId="1452BEC6" w:rsidR="00487770" w:rsidRPr="00487770" w:rsidRDefault="00487770" w:rsidP="00FB29B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8777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Achievement by self and direct reports of the </w:t>
            </w:r>
            <w:r w:rsidR="00EA7C0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strategic and </w:t>
            </w:r>
            <w:r w:rsidRPr="0048777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operational objectives for the </w:t>
            </w:r>
            <w:r w:rsidR="00EA7C0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Viability and Resilience, </w:t>
            </w:r>
            <w:r w:rsidRPr="0048777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Planning, Tax &amp; Treasury and </w:t>
            </w:r>
            <w:r w:rsidR="009225E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Policy </w:t>
            </w:r>
            <w:r w:rsidR="00F10837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functions</w:t>
            </w:r>
            <w:r w:rsidR="004474A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as evidenced by on-time delivery of statutory accounts, covenant information, regulatory </w:t>
            </w:r>
            <w:proofErr w:type="gramStart"/>
            <w:r w:rsidR="004474A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returns</w:t>
            </w:r>
            <w:proofErr w:type="gramEnd"/>
            <w:r w:rsidR="004474A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and tax returns.  </w:t>
            </w:r>
            <w:r w:rsidRPr="0048777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14:paraId="19248AA6" w14:textId="04E9421A" w:rsidR="00487770" w:rsidRPr="00487770" w:rsidRDefault="00487770" w:rsidP="00FB29B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8777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Maintenance of V1 ratings for </w:t>
            </w:r>
            <w:r w:rsidR="002C552C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the </w:t>
            </w:r>
            <w:r w:rsidR="004474A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Group. </w:t>
            </w:r>
          </w:p>
          <w:p w14:paraId="1B8A26DC" w14:textId="210704AE" w:rsidR="00B647E8" w:rsidRPr="009B57EB" w:rsidRDefault="004474AD" w:rsidP="00AE081A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lastRenderedPageBreak/>
              <w:t>Full</w:t>
            </w:r>
            <w:r w:rsidR="00487770" w:rsidRPr="0048777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compliance with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Group Financial Regulations</w:t>
            </w:r>
            <w:r w:rsidR="00DD51F7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and </w:t>
            </w:r>
            <w:r w:rsidR="009225E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associated </w:t>
            </w:r>
            <w:r w:rsidR="00DD51F7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policies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and delivery of i</w:t>
            </w:r>
            <w:r w:rsidR="00487770" w:rsidRPr="0048777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nternal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</w:t>
            </w:r>
            <w:r w:rsidR="00487770" w:rsidRPr="0048777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udit recommendations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on time and in full. </w:t>
            </w:r>
          </w:p>
        </w:tc>
      </w:tr>
    </w:tbl>
    <w:p w14:paraId="1C0CE585" w14:textId="77777777" w:rsidR="00D2628F" w:rsidRDefault="00D2628F" w:rsidP="00D2628F">
      <w:pPr>
        <w:pStyle w:val="Subtitle"/>
        <w:spacing w:before="120" w:after="120"/>
        <w:ind w:right="888"/>
        <w:jc w:val="left"/>
        <w:rPr>
          <w:rFonts w:ascii="Arial" w:hAnsi="Arial" w:cs="Arial"/>
          <w:b w:val="0"/>
          <w:bCs/>
          <w:color w:val="FFFFFF"/>
          <w:sz w:val="22"/>
          <w:szCs w:val="22"/>
        </w:rPr>
      </w:pPr>
    </w:p>
    <w:tbl>
      <w:tblPr>
        <w:tblStyle w:val="TableGrid"/>
        <w:tblW w:w="11057" w:type="dxa"/>
        <w:tblLook w:val="04A0" w:firstRow="1" w:lastRow="0" w:firstColumn="1" w:lastColumn="0" w:noHBand="0" w:noVBand="1"/>
      </w:tblPr>
      <w:tblGrid>
        <w:gridCol w:w="11057"/>
      </w:tblGrid>
      <w:tr w:rsidR="00747DC7" w:rsidRPr="005837B8" w14:paraId="6C7A639F" w14:textId="77777777" w:rsidTr="00576D6E">
        <w:trPr>
          <w:trHeight w:val="80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60D1E0"/>
          </w:tcPr>
          <w:p w14:paraId="508A80C2" w14:textId="77777777" w:rsidR="00747DC7" w:rsidRPr="005837B8" w:rsidRDefault="00747DC7" w:rsidP="00E2403F">
            <w:pPr>
              <w:pStyle w:val="Subtitle"/>
              <w:spacing w:before="120" w:after="120"/>
              <w:ind w:right="888"/>
              <w:rPr>
                <w:rFonts w:ascii="Arial" w:hAnsi="Arial" w:cs="Arial"/>
                <w:sz w:val="22"/>
                <w:szCs w:val="22"/>
              </w:rPr>
            </w:pPr>
            <w:r w:rsidRPr="005837B8">
              <w:rPr>
                <w:rFonts w:ascii="Arial" w:hAnsi="Arial" w:cs="Arial"/>
                <w:sz w:val="22"/>
                <w:szCs w:val="22"/>
              </w:rPr>
              <w:t xml:space="preserve">General </w:t>
            </w:r>
          </w:p>
        </w:tc>
      </w:tr>
    </w:tbl>
    <w:p w14:paraId="2E4CC01A" w14:textId="77777777" w:rsidR="00747DC7" w:rsidRDefault="00747DC7" w:rsidP="00747DC7">
      <w:pPr>
        <w:pStyle w:val="NormalWeb"/>
        <w:spacing w:before="120" w:beforeAutospacing="0" w:after="120" w:afterAutospacing="0"/>
        <w:ind w:right="888"/>
        <w:rPr>
          <w:rFonts w:ascii="Arial" w:hAnsi="Arial" w:cs="Arial"/>
          <w:sz w:val="22"/>
          <w:szCs w:val="22"/>
        </w:rPr>
      </w:pPr>
      <w:r w:rsidRPr="005837B8">
        <w:rPr>
          <w:rFonts w:ascii="Arial" w:hAnsi="Arial" w:cs="Arial"/>
          <w:sz w:val="22"/>
          <w:szCs w:val="22"/>
        </w:rPr>
        <w:tab/>
        <w:t xml:space="preserve">All employees are expected to: </w:t>
      </w:r>
    </w:p>
    <w:p w14:paraId="51726A4E" w14:textId="77777777" w:rsidR="00747DC7" w:rsidRPr="005837B8" w:rsidRDefault="00747DC7" w:rsidP="00747DC7">
      <w:pPr>
        <w:pStyle w:val="NormalWeb"/>
        <w:numPr>
          <w:ilvl w:val="0"/>
          <w:numId w:val="8"/>
        </w:numPr>
        <w:spacing w:before="120" w:beforeAutospacing="0" w:after="120" w:afterAutospacing="0"/>
        <w:ind w:right="888"/>
        <w:jc w:val="both"/>
        <w:rPr>
          <w:rFonts w:ascii="Arial" w:hAnsi="Arial" w:cs="Arial"/>
          <w:sz w:val="22"/>
          <w:szCs w:val="22"/>
        </w:rPr>
      </w:pPr>
      <w:r w:rsidRPr="005837B8">
        <w:rPr>
          <w:rFonts w:ascii="Arial" w:hAnsi="Arial" w:cs="Arial"/>
          <w:sz w:val="22"/>
          <w:szCs w:val="22"/>
        </w:rPr>
        <w:t xml:space="preserve">Ensure that our </w:t>
      </w:r>
      <w:proofErr w:type="gramStart"/>
      <w:r w:rsidRPr="005837B8">
        <w:rPr>
          <w:rFonts w:ascii="Arial" w:hAnsi="Arial" w:cs="Arial"/>
          <w:sz w:val="22"/>
          <w:szCs w:val="22"/>
        </w:rPr>
        <w:t>Customers</w:t>
      </w:r>
      <w:proofErr w:type="gramEnd"/>
      <w:r w:rsidRPr="005837B8">
        <w:rPr>
          <w:rFonts w:ascii="Arial" w:hAnsi="Arial" w:cs="Arial"/>
          <w:sz w:val="22"/>
          <w:szCs w:val="22"/>
        </w:rPr>
        <w:t xml:space="preserve"> are at the heart of everything we do and act at all times in accordance with our Values and </w:t>
      </w:r>
      <w:proofErr w:type="spellStart"/>
      <w:r w:rsidRPr="005837B8">
        <w:rPr>
          <w:rFonts w:ascii="Arial" w:hAnsi="Arial" w:cs="Arial"/>
          <w:sz w:val="22"/>
          <w:szCs w:val="22"/>
        </w:rPr>
        <w:t>Behaviours</w:t>
      </w:r>
      <w:proofErr w:type="spellEnd"/>
      <w:r w:rsidRPr="005837B8">
        <w:rPr>
          <w:rFonts w:ascii="Arial" w:hAnsi="Arial" w:cs="Arial"/>
          <w:sz w:val="22"/>
          <w:szCs w:val="22"/>
        </w:rPr>
        <w:t xml:space="preserve">. </w:t>
      </w:r>
    </w:p>
    <w:p w14:paraId="2D650967" w14:textId="77777777" w:rsidR="00747DC7" w:rsidRPr="005837B8" w:rsidRDefault="415786BC" w:rsidP="415786BC">
      <w:pPr>
        <w:pStyle w:val="NormalWeb"/>
        <w:numPr>
          <w:ilvl w:val="0"/>
          <w:numId w:val="8"/>
        </w:numPr>
        <w:spacing w:before="120" w:beforeAutospacing="0" w:after="120" w:afterAutospacing="0"/>
        <w:ind w:right="888"/>
        <w:jc w:val="both"/>
        <w:rPr>
          <w:rFonts w:ascii="Arial" w:hAnsi="Arial" w:cs="Arial"/>
          <w:i/>
          <w:iCs/>
          <w:sz w:val="22"/>
          <w:szCs w:val="22"/>
        </w:rPr>
      </w:pPr>
      <w:r w:rsidRPr="415786BC">
        <w:rPr>
          <w:rFonts w:ascii="Arial" w:hAnsi="Arial" w:cs="Arial"/>
          <w:sz w:val="22"/>
          <w:szCs w:val="22"/>
        </w:rPr>
        <w:t>Carry out all duties in the context of, and in compliance with, the Group’s commitment to equality and diversity, leading by example and contributing to an inclusive culture.</w:t>
      </w:r>
      <w:r w:rsidRPr="415786BC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1A8E0741" w14:textId="77777777" w:rsidR="00747DC7" w:rsidRDefault="00747DC7" w:rsidP="00747DC7">
      <w:pPr>
        <w:pStyle w:val="NormalWeb"/>
        <w:numPr>
          <w:ilvl w:val="0"/>
          <w:numId w:val="8"/>
        </w:numPr>
        <w:spacing w:before="120" w:beforeAutospacing="0" w:after="120" w:afterAutospacing="0"/>
        <w:ind w:right="888"/>
        <w:jc w:val="both"/>
        <w:rPr>
          <w:rFonts w:ascii="Arial" w:hAnsi="Arial" w:cs="Arial"/>
          <w:sz w:val="22"/>
          <w:szCs w:val="22"/>
        </w:rPr>
      </w:pPr>
      <w:r w:rsidRPr="005837B8">
        <w:rPr>
          <w:rFonts w:ascii="Arial" w:hAnsi="Arial" w:cs="Arial"/>
          <w:sz w:val="22"/>
          <w:szCs w:val="22"/>
        </w:rPr>
        <w:t xml:space="preserve">Take responsibility for your own health and safety and that of your colleagues in accordance with the Health &amp; Safety at Work Act by </w:t>
      </w:r>
      <w:proofErr w:type="gramStart"/>
      <w:r w:rsidRPr="005837B8">
        <w:rPr>
          <w:rFonts w:ascii="Arial" w:hAnsi="Arial" w:cs="Arial"/>
          <w:sz w:val="22"/>
          <w:szCs w:val="22"/>
        </w:rPr>
        <w:t>following the Group’s Health and Safety policies and procedures at all times</w:t>
      </w:r>
      <w:proofErr w:type="gramEnd"/>
      <w:r w:rsidRPr="005837B8">
        <w:rPr>
          <w:rFonts w:ascii="Arial" w:hAnsi="Arial" w:cs="Arial"/>
          <w:sz w:val="22"/>
          <w:szCs w:val="22"/>
        </w:rPr>
        <w:t xml:space="preserve">. </w:t>
      </w:r>
    </w:p>
    <w:p w14:paraId="55B908FA" w14:textId="77777777" w:rsidR="00747DC7" w:rsidRPr="00DF055D" w:rsidRDefault="00747DC7" w:rsidP="00747DC7">
      <w:pPr>
        <w:pStyle w:val="NormalWeb"/>
        <w:numPr>
          <w:ilvl w:val="0"/>
          <w:numId w:val="8"/>
        </w:numPr>
        <w:spacing w:before="120" w:beforeAutospacing="0" w:after="120" w:afterAutospacing="0"/>
        <w:ind w:right="888"/>
        <w:jc w:val="both"/>
        <w:rPr>
          <w:rFonts w:ascii="Arial" w:hAnsi="Arial" w:cs="Arial"/>
          <w:sz w:val="22"/>
          <w:szCs w:val="22"/>
        </w:rPr>
      </w:pPr>
      <w:proofErr w:type="gramStart"/>
      <w:r w:rsidRPr="00DF055D">
        <w:rPr>
          <w:rFonts w:ascii="Arial" w:hAnsi="Arial" w:cs="Arial"/>
          <w:sz w:val="22"/>
          <w:szCs w:val="22"/>
        </w:rPr>
        <w:t>Adhere to all Group policies at all times</w:t>
      </w:r>
      <w:proofErr w:type="gramEnd"/>
      <w:r w:rsidRPr="00DF055D">
        <w:rPr>
          <w:rFonts w:ascii="Arial" w:hAnsi="Arial" w:cs="Arial"/>
          <w:sz w:val="22"/>
          <w:szCs w:val="22"/>
        </w:rPr>
        <w:t xml:space="preserve">. </w:t>
      </w:r>
    </w:p>
    <w:p w14:paraId="369A39C9" w14:textId="77777777" w:rsidR="00747DC7" w:rsidRPr="00DF055D" w:rsidRDefault="00747DC7" w:rsidP="00747DC7">
      <w:pPr>
        <w:pStyle w:val="NormalWeb"/>
        <w:numPr>
          <w:ilvl w:val="0"/>
          <w:numId w:val="8"/>
        </w:numPr>
        <w:spacing w:before="120" w:beforeAutospacing="0" w:after="120" w:afterAutospacing="0"/>
        <w:ind w:right="888"/>
        <w:jc w:val="both"/>
        <w:rPr>
          <w:rFonts w:ascii="Arial" w:hAnsi="Arial" w:cs="Arial"/>
          <w:sz w:val="22"/>
          <w:szCs w:val="22"/>
        </w:rPr>
      </w:pPr>
      <w:r w:rsidRPr="00DF055D">
        <w:rPr>
          <w:rFonts w:ascii="Arial" w:hAnsi="Arial" w:cs="Arial"/>
          <w:sz w:val="22"/>
          <w:szCs w:val="22"/>
        </w:rPr>
        <w:t xml:space="preserve">Understand and demonstrate empathy with the social aims of the Group. </w:t>
      </w:r>
    </w:p>
    <w:p w14:paraId="55A79B20" w14:textId="77777777" w:rsidR="00747DC7" w:rsidRDefault="00747DC7" w:rsidP="00747DC7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B6912">
        <w:rPr>
          <w:rFonts w:ascii="Arial" w:hAnsi="Arial" w:cs="Arial"/>
          <w:sz w:val="22"/>
          <w:szCs w:val="22"/>
        </w:rPr>
        <w:t xml:space="preserve">Ensure compliance with all legal obligations concerning the protection of data concerning </w:t>
      </w:r>
    </w:p>
    <w:p w14:paraId="19F702EE" w14:textId="77777777" w:rsidR="00747DC7" w:rsidRPr="004B6912" w:rsidRDefault="00747DC7" w:rsidP="00747DC7">
      <w:pPr>
        <w:ind w:left="720" w:firstLine="360"/>
        <w:jc w:val="both"/>
        <w:rPr>
          <w:rFonts w:ascii="Arial" w:hAnsi="Arial" w:cs="Arial"/>
          <w:sz w:val="22"/>
          <w:szCs w:val="22"/>
        </w:rPr>
      </w:pPr>
      <w:r w:rsidRPr="004B6912">
        <w:rPr>
          <w:rFonts w:ascii="Arial" w:hAnsi="Arial" w:cs="Arial"/>
          <w:sz w:val="22"/>
          <w:szCs w:val="22"/>
        </w:rPr>
        <w:t>employees, customers and third parties.</w:t>
      </w:r>
    </w:p>
    <w:p w14:paraId="343811F2" w14:textId="77777777" w:rsidR="00747DC7" w:rsidRPr="005837B8" w:rsidRDefault="00747DC7" w:rsidP="00747DC7">
      <w:pPr>
        <w:pStyle w:val="NormalWeb"/>
        <w:numPr>
          <w:ilvl w:val="0"/>
          <w:numId w:val="8"/>
        </w:numPr>
        <w:spacing w:before="120" w:beforeAutospacing="0" w:after="120" w:afterAutospacing="0"/>
        <w:ind w:right="888"/>
        <w:jc w:val="both"/>
        <w:rPr>
          <w:rFonts w:ascii="Arial" w:hAnsi="Arial" w:cs="Arial"/>
          <w:sz w:val="22"/>
          <w:szCs w:val="22"/>
        </w:rPr>
      </w:pPr>
      <w:r w:rsidRPr="005837B8">
        <w:rPr>
          <w:rFonts w:ascii="Arial" w:hAnsi="Arial" w:cs="Arial"/>
          <w:sz w:val="22"/>
          <w:szCs w:val="22"/>
        </w:rPr>
        <w:t xml:space="preserve">Be prepared to have some reasonable flexibility of working hours as necessary to meet the requirements of the job. </w:t>
      </w:r>
    </w:p>
    <w:p w14:paraId="66152E34" w14:textId="77777777" w:rsidR="00747DC7" w:rsidRPr="005837B8" w:rsidRDefault="00747DC7" w:rsidP="00747DC7">
      <w:pPr>
        <w:pStyle w:val="NormalWeb"/>
        <w:numPr>
          <w:ilvl w:val="0"/>
          <w:numId w:val="8"/>
        </w:numPr>
        <w:spacing w:before="120" w:beforeAutospacing="0" w:after="120" w:afterAutospacing="0"/>
        <w:ind w:right="888"/>
        <w:jc w:val="both"/>
        <w:rPr>
          <w:rFonts w:ascii="Arial" w:hAnsi="Arial" w:cs="Arial"/>
          <w:sz w:val="22"/>
          <w:szCs w:val="22"/>
        </w:rPr>
      </w:pPr>
      <w:r w:rsidRPr="005837B8">
        <w:rPr>
          <w:rFonts w:ascii="Arial" w:hAnsi="Arial" w:cs="Arial"/>
          <w:sz w:val="22"/>
          <w:szCs w:val="22"/>
        </w:rPr>
        <w:t xml:space="preserve">Adopt a proactive approach to identify and mitigate risks to each business area by informing your line manager to enable the risk register to be updated, thus </w:t>
      </w:r>
      <w:proofErr w:type="spellStart"/>
      <w:r w:rsidRPr="005837B8">
        <w:rPr>
          <w:rFonts w:ascii="Arial" w:hAnsi="Arial" w:cs="Arial"/>
          <w:sz w:val="22"/>
          <w:szCs w:val="22"/>
        </w:rPr>
        <w:t>minimising</w:t>
      </w:r>
      <w:proofErr w:type="spellEnd"/>
      <w:r w:rsidRPr="005837B8">
        <w:rPr>
          <w:rFonts w:ascii="Arial" w:hAnsi="Arial" w:cs="Arial"/>
          <w:sz w:val="22"/>
          <w:szCs w:val="22"/>
        </w:rPr>
        <w:t xml:space="preserve"> the Group’s existing and future risks.</w:t>
      </w:r>
    </w:p>
    <w:p w14:paraId="559A710F" w14:textId="77777777" w:rsidR="00747DC7" w:rsidRPr="005837B8" w:rsidRDefault="00747DC7" w:rsidP="00747DC7">
      <w:pPr>
        <w:pStyle w:val="NormalWeb"/>
        <w:numPr>
          <w:ilvl w:val="0"/>
          <w:numId w:val="8"/>
        </w:numPr>
        <w:spacing w:before="120" w:beforeAutospacing="0" w:after="120" w:afterAutospacing="0"/>
        <w:ind w:right="888"/>
        <w:jc w:val="both"/>
        <w:rPr>
          <w:rFonts w:ascii="Arial" w:hAnsi="Arial" w:cs="Arial"/>
          <w:sz w:val="22"/>
          <w:szCs w:val="22"/>
        </w:rPr>
      </w:pPr>
      <w:r w:rsidRPr="005837B8">
        <w:rPr>
          <w:rFonts w:ascii="Arial" w:hAnsi="Arial" w:cs="Arial"/>
          <w:sz w:val="22"/>
          <w:szCs w:val="22"/>
        </w:rPr>
        <w:t xml:space="preserve">Be prepared to work in a variety of locations as required, including premises not directly under the control of the Group. </w:t>
      </w:r>
    </w:p>
    <w:p w14:paraId="20F02312" w14:textId="77777777" w:rsidR="00747DC7" w:rsidRPr="00DF055D" w:rsidRDefault="00747DC7" w:rsidP="00747DC7">
      <w:pPr>
        <w:pStyle w:val="NormalWeb"/>
        <w:numPr>
          <w:ilvl w:val="0"/>
          <w:numId w:val="8"/>
        </w:numPr>
        <w:spacing w:before="120" w:beforeAutospacing="0" w:after="120" w:afterAutospacing="0"/>
        <w:ind w:right="888"/>
        <w:jc w:val="both"/>
        <w:rPr>
          <w:rFonts w:ascii="Arial" w:hAnsi="Arial" w:cs="Arial"/>
          <w:sz w:val="22"/>
          <w:szCs w:val="22"/>
        </w:rPr>
      </w:pPr>
      <w:r w:rsidRPr="0087547C">
        <w:rPr>
          <w:rFonts w:ascii="Arial" w:hAnsi="Arial" w:cs="Arial"/>
          <w:iCs/>
          <w:sz w:val="22"/>
          <w:szCs w:val="22"/>
        </w:rPr>
        <w:t xml:space="preserve">Demonstrate a </w:t>
      </w:r>
      <w:r>
        <w:rPr>
          <w:rFonts w:ascii="Arial" w:hAnsi="Arial" w:cs="Arial"/>
          <w:iCs/>
          <w:sz w:val="22"/>
          <w:szCs w:val="22"/>
        </w:rPr>
        <w:t>willingn</w:t>
      </w:r>
      <w:r w:rsidRPr="0087547C">
        <w:rPr>
          <w:rFonts w:ascii="Arial" w:hAnsi="Arial" w:cs="Arial"/>
          <w:iCs/>
          <w:sz w:val="22"/>
          <w:szCs w:val="22"/>
        </w:rPr>
        <w:t>ess to undertake ongoing training as appropriate for ongoing personal and professional development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DF055D">
        <w:rPr>
          <w:rFonts w:ascii="Arial" w:hAnsi="Arial" w:cs="Arial"/>
          <w:iCs/>
          <w:sz w:val="22"/>
          <w:szCs w:val="22"/>
        </w:rPr>
        <w:t xml:space="preserve">and in line with the Group’s commitment to continuous improvement; demonstrate ongoing continuing professional development and take responsibility for identifying own development needs and actions to address these where appropriate. </w:t>
      </w:r>
      <w:r w:rsidRPr="00DF055D">
        <w:rPr>
          <w:rFonts w:ascii="Arial" w:hAnsi="Arial" w:cs="Arial"/>
          <w:sz w:val="22"/>
          <w:szCs w:val="22"/>
        </w:rPr>
        <w:tab/>
      </w:r>
    </w:p>
    <w:p w14:paraId="377E1C1E" w14:textId="254B4A33" w:rsidR="00747DC7" w:rsidRDefault="00747DC7" w:rsidP="00747DC7">
      <w:pPr>
        <w:pStyle w:val="NormalWeb"/>
        <w:spacing w:before="120" w:beforeAutospacing="0" w:after="120" w:afterAutospacing="0"/>
        <w:ind w:right="888"/>
        <w:jc w:val="both"/>
        <w:rPr>
          <w:rFonts w:ascii="Arial" w:hAnsi="Arial" w:cs="Arial"/>
          <w:sz w:val="22"/>
          <w:szCs w:val="22"/>
        </w:rPr>
      </w:pPr>
    </w:p>
    <w:p w14:paraId="24C01363" w14:textId="77777777" w:rsidR="009225E5" w:rsidRDefault="009225E5" w:rsidP="00747DC7">
      <w:pPr>
        <w:pStyle w:val="NormalWeb"/>
        <w:spacing w:before="120" w:beforeAutospacing="0" w:after="120" w:afterAutospacing="0"/>
        <w:ind w:right="888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3563"/>
        <w:gridCol w:w="5929"/>
      </w:tblGrid>
      <w:tr w:rsidR="00747DC7" w:rsidRPr="005837B8" w14:paraId="11F45254" w14:textId="77777777" w:rsidTr="00E2403F">
        <w:tc>
          <w:tcPr>
            <w:tcW w:w="9492" w:type="dxa"/>
            <w:gridSpan w:val="2"/>
            <w:shd w:val="clear" w:color="auto" w:fill="60D1E0"/>
          </w:tcPr>
          <w:p w14:paraId="7C0975AC" w14:textId="77777777" w:rsidR="00747DC7" w:rsidRPr="005837B8" w:rsidRDefault="00747DC7" w:rsidP="00E2403F">
            <w:pPr>
              <w:pStyle w:val="NormalWeb"/>
              <w:spacing w:before="120" w:beforeAutospacing="0" w:after="120" w:afterAutospacing="0"/>
              <w:ind w:right="88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75950358"/>
            <w:r>
              <w:rPr>
                <w:rFonts w:ascii="Arial" w:hAnsi="Arial" w:cs="Arial"/>
                <w:b/>
                <w:sz w:val="22"/>
                <w:szCs w:val="22"/>
              </w:rPr>
              <w:t xml:space="preserve">Values and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5837B8">
              <w:rPr>
                <w:rFonts w:ascii="Arial" w:hAnsi="Arial" w:cs="Arial"/>
                <w:b/>
                <w:sz w:val="22"/>
                <w:szCs w:val="22"/>
              </w:rPr>
              <w:t>ehaviours</w:t>
            </w:r>
            <w:proofErr w:type="spellEnd"/>
          </w:p>
        </w:tc>
      </w:tr>
      <w:tr w:rsidR="00747DC7" w:rsidRPr="005837B8" w14:paraId="209F08B9" w14:textId="77777777" w:rsidTr="00E2403F">
        <w:tc>
          <w:tcPr>
            <w:tcW w:w="3563" w:type="dxa"/>
            <w:shd w:val="clear" w:color="auto" w:fill="F2F2F2"/>
          </w:tcPr>
          <w:p w14:paraId="65072A51" w14:textId="77777777" w:rsidR="00747DC7" w:rsidRPr="005837B8" w:rsidRDefault="00747DC7" w:rsidP="00E2403F">
            <w:pPr>
              <w:pStyle w:val="NormalWeb"/>
              <w:spacing w:before="120" w:beforeAutospacing="0" w:after="120" w:afterAutospacing="0"/>
              <w:ind w:right="888"/>
              <w:rPr>
                <w:rFonts w:ascii="Arial" w:hAnsi="Arial" w:cs="Arial"/>
                <w:b/>
                <w:sz w:val="22"/>
                <w:szCs w:val="22"/>
              </w:rPr>
            </w:pPr>
            <w:r w:rsidRPr="005837B8">
              <w:rPr>
                <w:rFonts w:ascii="Arial" w:hAnsi="Arial" w:cs="Arial"/>
                <w:b/>
                <w:sz w:val="22"/>
                <w:szCs w:val="22"/>
              </w:rPr>
              <w:t xml:space="preserve">Making a difference daily </w:t>
            </w:r>
          </w:p>
        </w:tc>
        <w:tc>
          <w:tcPr>
            <w:tcW w:w="5929" w:type="dxa"/>
            <w:shd w:val="clear" w:color="auto" w:fill="F2F2F2"/>
          </w:tcPr>
          <w:p w14:paraId="5EEF6268" w14:textId="77777777" w:rsidR="00747DC7" w:rsidRPr="005837B8" w:rsidRDefault="00747DC7" w:rsidP="00E2403F">
            <w:pPr>
              <w:pStyle w:val="NormalWeb"/>
              <w:spacing w:before="120" w:beforeAutospacing="0" w:after="120" w:afterAutospacing="0"/>
              <w:ind w:right="888"/>
              <w:rPr>
                <w:rFonts w:ascii="Arial" w:hAnsi="Arial" w:cs="Arial"/>
                <w:sz w:val="22"/>
                <w:szCs w:val="22"/>
              </w:rPr>
            </w:pPr>
            <w:r w:rsidRPr="005837B8">
              <w:rPr>
                <w:rFonts w:ascii="Arial" w:hAnsi="Arial" w:cs="Arial"/>
                <w:sz w:val="22"/>
                <w:szCs w:val="22"/>
              </w:rPr>
              <w:t>We invest in our people, our customers and in the creation of a fairer society.</w:t>
            </w:r>
          </w:p>
        </w:tc>
      </w:tr>
      <w:tr w:rsidR="00747DC7" w:rsidRPr="005837B8" w14:paraId="7345E145" w14:textId="77777777" w:rsidTr="00E2403F">
        <w:tc>
          <w:tcPr>
            <w:tcW w:w="3563" w:type="dxa"/>
            <w:shd w:val="clear" w:color="auto" w:fill="F2F2F2"/>
          </w:tcPr>
          <w:p w14:paraId="101E6BFD" w14:textId="77777777" w:rsidR="00747DC7" w:rsidRPr="005837B8" w:rsidRDefault="00747DC7" w:rsidP="00E2403F">
            <w:pPr>
              <w:pStyle w:val="NormalWeb"/>
              <w:spacing w:before="120" w:beforeAutospacing="0" w:after="120" w:afterAutospacing="0"/>
              <w:ind w:right="888"/>
              <w:rPr>
                <w:rFonts w:ascii="Arial" w:hAnsi="Arial" w:cs="Arial"/>
                <w:b/>
                <w:sz w:val="22"/>
                <w:szCs w:val="22"/>
              </w:rPr>
            </w:pPr>
            <w:r w:rsidRPr="005837B8">
              <w:rPr>
                <w:rFonts w:ascii="Arial" w:hAnsi="Arial" w:cs="Arial"/>
                <w:b/>
                <w:sz w:val="22"/>
                <w:szCs w:val="22"/>
              </w:rPr>
              <w:t xml:space="preserve">Positively open </w:t>
            </w:r>
          </w:p>
        </w:tc>
        <w:tc>
          <w:tcPr>
            <w:tcW w:w="5929" w:type="dxa"/>
            <w:shd w:val="clear" w:color="auto" w:fill="F2F2F2"/>
          </w:tcPr>
          <w:p w14:paraId="7A218706" w14:textId="77777777" w:rsidR="00747DC7" w:rsidRPr="005837B8" w:rsidRDefault="00747DC7" w:rsidP="00E2403F">
            <w:pPr>
              <w:pStyle w:val="NormalWeb"/>
              <w:spacing w:before="120" w:beforeAutospacing="0" w:after="120" w:afterAutospacing="0"/>
              <w:ind w:right="888"/>
              <w:rPr>
                <w:rFonts w:ascii="Arial" w:hAnsi="Arial" w:cs="Arial"/>
                <w:sz w:val="22"/>
                <w:szCs w:val="22"/>
              </w:rPr>
            </w:pPr>
            <w:r w:rsidRPr="005837B8">
              <w:rPr>
                <w:rFonts w:ascii="Arial" w:hAnsi="Arial" w:cs="Arial"/>
                <w:sz w:val="22"/>
                <w:szCs w:val="22"/>
              </w:rPr>
              <w:t xml:space="preserve">We are open to feedback at all </w:t>
            </w:r>
            <w:proofErr w:type="gramStart"/>
            <w:r w:rsidRPr="005837B8">
              <w:rPr>
                <w:rFonts w:ascii="Arial" w:hAnsi="Arial" w:cs="Arial"/>
                <w:sz w:val="22"/>
                <w:szCs w:val="22"/>
              </w:rPr>
              <w:t>time</w:t>
            </w:r>
            <w:proofErr w:type="gramEnd"/>
            <w:r w:rsidRPr="005837B8">
              <w:rPr>
                <w:rFonts w:ascii="Arial" w:hAnsi="Arial" w:cs="Arial"/>
                <w:sz w:val="22"/>
                <w:szCs w:val="22"/>
              </w:rPr>
              <w:t xml:space="preserve">, as we strive to deliver a first class customer experience. </w:t>
            </w:r>
          </w:p>
        </w:tc>
      </w:tr>
      <w:tr w:rsidR="00747DC7" w:rsidRPr="005837B8" w14:paraId="01D106CB" w14:textId="77777777" w:rsidTr="00E2403F">
        <w:tc>
          <w:tcPr>
            <w:tcW w:w="3563" w:type="dxa"/>
            <w:shd w:val="clear" w:color="auto" w:fill="F2F2F2"/>
          </w:tcPr>
          <w:p w14:paraId="5AE00A14" w14:textId="77777777" w:rsidR="00747DC7" w:rsidRPr="005837B8" w:rsidRDefault="00747DC7" w:rsidP="00E2403F">
            <w:pPr>
              <w:pStyle w:val="NormalWeb"/>
              <w:spacing w:before="120" w:beforeAutospacing="0" w:after="120" w:afterAutospacing="0"/>
              <w:ind w:right="888"/>
              <w:rPr>
                <w:rFonts w:ascii="Arial" w:hAnsi="Arial" w:cs="Arial"/>
                <w:b/>
                <w:sz w:val="22"/>
                <w:szCs w:val="22"/>
              </w:rPr>
            </w:pPr>
            <w:r w:rsidRPr="005837B8">
              <w:rPr>
                <w:rFonts w:ascii="Arial" w:hAnsi="Arial" w:cs="Arial"/>
                <w:b/>
                <w:sz w:val="22"/>
                <w:szCs w:val="22"/>
              </w:rPr>
              <w:t>Forging the right way</w:t>
            </w:r>
          </w:p>
        </w:tc>
        <w:tc>
          <w:tcPr>
            <w:tcW w:w="5929" w:type="dxa"/>
            <w:shd w:val="clear" w:color="auto" w:fill="F2F2F2"/>
          </w:tcPr>
          <w:p w14:paraId="5FEF7E66" w14:textId="77777777" w:rsidR="00747DC7" w:rsidRPr="005837B8" w:rsidRDefault="00747DC7" w:rsidP="00E2403F">
            <w:pPr>
              <w:pStyle w:val="NormalWeb"/>
              <w:spacing w:before="120" w:beforeAutospacing="0" w:after="120" w:afterAutospacing="0"/>
              <w:ind w:right="888"/>
              <w:rPr>
                <w:rFonts w:ascii="Arial" w:hAnsi="Arial" w:cs="Arial"/>
                <w:sz w:val="22"/>
                <w:szCs w:val="22"/>
              </w:rPr>
            </w:pPr>
            <w:r w:rsidRPr="005837B8">
              <w:rPr>
                <w:rFonts w:ascii="Arial" w:hAnsi="Arial" w:cs="Arial"/>
                <w:sz w:val="22"/>
                <w:szCs w:val="22"/>
              </w:rPr>
              <w:t>We’re creating an inspiring road which others will want to follow</w:t>
            </w:r>
          </w:p>
        </w:tc>
      </w:tr>
      <w:tr w:rsidR="00747DC7" w:rsidRPr="005837B8" w14:paraId="69E4C7FA" w14:textId="77777777" w:rsidTr="00E2403F">
        <w:tc>
          <w:tcPr>
            <w:tcW w:w="3563" w:type="dxa"/>
            <w:shd w:val="clear" w:color="auto" w:fill="F2F2F2"/>
          </w:tcPr>
          <w:p w14:paraId="4AFE5743" w14:textId="77777777" w:rsidR="00747DC7" w:rsidRPr="005837B8" w:rsidRDefault="00747DC7" w:rsidP="00E2403F">
            <w:pPr>
              <w:pStyle w:val="NormalWeb"/>
              <w:spacing w:before="120" w:beforeAutospacing="0" w:after="120" w:afterAutospacing="0"/>
              <w:ind w:right="888"/>
              <w:rPr>
                <w:rFonts w:ascii="Arial" w:hAnsi="Arial" w:cs="Arial"/>
                <w:b/>
                <w:sz w:val="22"/>
                <w:szCs w:val="22"/>
              </w:rPr>
            </w:pPr>
            <w:r w:rsidRPr="005837B8">
              <w:rPr>
                <w:rFonts w:ascii="Arial" w:hAnsi="Arial" w:cs="Arial"/>
                <w:b/>
                <w:sz w:val="22"/>
                <w:szCs w:val="22"/>
              </w:rPr>
              <w:t>Together as one</w:t>
            </w:r>
          </w:p>
        </w:tc>
        <w:tc>
          <w:tcPr>
            <w:tcW w:w="5929" w:type="dxa"/>
            <w:shd w:val="clear" w:color="auto" w:fill="F2F2F2"/>
          </w:tcPr>
          <w:p w14:paraId="1A66840E" w14:textId="77777777" w:rsidR="00747DC7" w:rsidRPr="005837B8" w:rsidRDefault="00747DC7" w:rsidP="00E2403F">
            <w:pPr>
              <w:pStyle w:val="NormalWeb"/>
              <w:spacing w:before="120" w:beforeAutospacing="0" w:after="120" w:afterAutospacing="0"/>
              <w:ind w:right="888"/>
              <w:rPr>
                <w:rFonts w:ascii="Arial" w:hAnsi="Arial" w:cs="Arial"/>
                <w:sz w:val="22"/>
                <w:szCs w:val="22"/>
              </w:rPr>
            </w:pPr>
            <w:r w:rsidRPr="005837B8">
              <w:rPr>
                <w:rFonts w:ascii="Arial" w:hAnsi="Arial" w:cs="Arial"/>
                <w:sz w:val="22"/>
                <w:szCs w:val="22"/>
              </w:rPr>
              <w:t xml:space="preserve">Our teams work on another level of cohesiveness to enable us to deliver better outcomes. </w:t>
            </w:r>
          </w:p>
        </w:tc>
      </w:tr>
      <w:bookmarkEnd w:id="0"/>
    </w:tbl>
    <w:p w14:paraId="2475484E" w14:textId="77777777" w:rsidR="00727A5A" w:rsidRDefault="00727A5A" w:rsidP="00747DC7">
      <w:pPr>
        <w:pStyle w:val="Subtitle"/>
        <w:spacing w:before="120" w:after="120"/>
        <w:ind w:right="888"/>
        <w:jc w:val="left"/>
        <w:rPr>
          <w:rFonts w:ascii="Arial" w:hAnsi="Arial" w:cs="Arial"/>
          <w:b w:val="0"/>
          <w:bCs/>
          <w:color w:val="FFFFFF"/>
          <w:sz w:val="22"/>
          <w:szCs w:val="22"/>
        </w:rPr>
      </w:pPr>
    </w:p>
    <w:p w14:paraId="26612A1F" w14:textId="27113DEE" w:rsidR="415786BC" w:rsidRDefault="415786BC" w:rsidP="415786BC">
      <w:pPr>
        <w:pStyle w:val="Subtitle"/>
        <w:spacing w:before="120" w:after="120"/>
        <w:ind w:right="888"/>
        <w:jc w:val="left"/>
        <w:rPr>
          <w:bCs/>
          <w:color w:val="FFFFFF" w:themeColor="background1"/>
          <w:sz w:val="22"/>
          <w:szCs w:val="22"/>
        </w:rPr>
      </w:pPr>
    </w:p>
    <w:p w14:paraId="710B9596" w14:textId="45C9FA63" w:rsidR="415786BC" w:rsidRDefault="415786BC" w:rsidP="415786BC">
      <w:pPr>
        <w:pStyle w:val="Subtitle"/>
        <w:spacing w:before="120" w:after="120"/>
        <w:ind w:right="888"/>
        <w:jc w:val="left"/>
        <w:rPr>
          <w:bCs/>
          <w:color w:val="FFFFFF" w:themeColor="background1"/>
          <w:sz w:val="22"/>
          <w:szCs w:val="22"/>
        </w:rPr>
      </w:pPr>
    </w:p>
    <w:p w14:paraId="70978A1E" w14:textId="796F5B00" w:rsidR="009225E5" w:rsidRDefault="009225E5" w:rsidP="415786BC">
      <w:pPr>
        <w:pStyle w:val="Subtitle"/>
        <w:spacing w:before="120" w:after="120"/>
        <w:ind w:right="888"/>
        <w:jc w:val="left"/>
        <w:rPr>
          <w:bCs/>
          <w:color w:val="FFFFFF" w:themeColor="background1"/>
          <w:sz w:val="22"/>
          <w:szCs w:val="22"/>
        </w:rPr>
      </w:pPr>
    </w:p>
    <w:p w14:paraId="40030131" w14:textId="4E5187BF" w:rsidR="009225E5" w:rsidRDefault="009225E5" w:rsidP="415786BC">
      <w:pPr>
        <w:pStyle w:val="Subtitle"/>
        <w:spacing w:before="120" w:after="120"/>
        <w:ind w:right="888"/>
        <w:jc w:val="left"/>
        <w:rPr>
          <w:bCs/>
          <w:color w:val="FFFFFF" w:themeColor="background1"/>
          <w:sz w:val="22"/>
          <w:szCs w:val="22"/>
        </w:rPr>
      </w:pPr>
    </w:p>
    <w:p w14:paraId="38DAF83F" w14:textId="37D751B0" w:rsidR="002C3D30" w:rsidRDefault="005752BC" w:rsidP="002C3D30">
      <w:pPr>
        <w:spacing w:after="200" w:line="276" w:lineRule="auto"/>
        <w:rPr>
          <w:rFonts w:ascii="Arial" w:eastAsia="Calibri" w:hAnsi="Arial" w:cs="Arial"/>
          <w:b/>
          <w:bCs/>
          <w:color w:val="001689"/>
          <w:sz w:val="36"/>
          <w:szCs w:val="36"/>
        </w:rPr>
      </w:pPr>
      <w:r w:rsidRPr="00204E2F">
        <w:rPr>
          <w:rFonts w:ascii="Arial" w:eastAsia="Calibri" w:hAnsi="Arial" w:cs="Arial"/>
          <w:b/>
          <w:bCs/>
          <w:color w:val="001689"/>
          <w:sz w:val="36"/>
          <w:szCs w:val="36"/>
        </w:rPr>
        <w:t>P</w:t>
      </w:r>
      <w:r w:rsidR="002C3D30" w:rsidRPr="00204E2F">
        <w:rPr>
          <w:rFonts w:ascii="Arial" w:eastAsia="Calibri" w:hAnsi="Arial" w:cs="Arial"/>
          <w:b/>
          <w:bCs/>
          <w:color w:val="001689"/>
          <w:sz w:val="36"/>
          <w:szCs w:val="36"/>
        </w:rPr>
        <w:t>erson specification</w:t>
      </w: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6285"/>
        <w:gridCol w:w="1759"/>
        <w:gridCol w:w="1833"/>
      </w:tblGrid>
      <w:tr w:rsidR="00FB2374" w:rsidRPr="005837B8" w14:paraId="4C21F032" w14:textId="77777777" w:rsidTr="415786BC">
        <w:trPr>
          <w:trHeight w:val="562"/>
          <w:jc w:val="center"/>
        </w:trPr>
        <w:tc>
          <w:tcPr>
            <w:tcW w:w="6285" w:type="dxa"/>
            <w:tcBorders>
              <w:bottom w:val="single" w:sz="4" w:space="0" w:color="auto"/>
            </w:tcBorders>
          </w:tcPr>
          <w:p w14:paraId="08A94D19" w14:textId="0FC96D98" w:rsidR="00FB2374" w:rsidRPr="005837B8" w:rsidRDefault="004D333C" w:rsidP="00347245">
            <w:pPr>
              <w:rPr>
                <w:rFonts w:ascii="Arial" w:eastAsia="Calibri" w:hAnsi="Arial" w:cs="Arial"/>
              </w:rPr>
            </w:pPr>
            <w:bookmarkStart w:id="1" w:name="_Hlk63073150"/>
            <w:r>
              <w:rPr>
                <w:rFonts w:ascii="Franklin Gothic Book" w:eastAsia="Calibri" w:hAnsi="Franklin Gothic Book"/>
                <w:noProof/>
              </w:rPr>
              <w:t xml:space="preserve">          </w:t>
            </w:r>
            <w:bookmarkEnd w:id="1"/>
            <w:r w:rsidR="00AF680C" w:rsidRPr="005837B8">
              <w:rPr>
                <w:rFonts w:ascii="Arial" w:eastAsia="Calibri" w:hAnsi="Arial" w:cs="Arial"/>
              </w:rPr>
              <w:tab/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61FF60C4" w14:textId="77777777" w:rsidR="00FB2374" w:rsidRPr="005837B8" w:rsidRDefault="00FB2374" w:rsidP="0034724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837B8">
              <w:rPr>
                <w:rFonts w:ascii="Arial" w:eastAsia="Calibri" w:hAnsi="Arial" w:cs="Arial"/>
                <w:b/>
                <w:bCs/>
              </w:rPr>
              <w:t>Essential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1D30313F" w14:textId="77777777" w:rsidR="00FB2374" w:rsidRPr="005837B8" w:rsidRDefault="00FB2374" w:rsidP="0034724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837B8">
              <w:rPr>
                <w:rFonts w:ascii="Arial" w:eastAsia="Calibri" w:hAnsi="Arial" w:cs="Arial"/>
                <w:b/>
                <w:bCs/>
              </w:rPr>
              <w:t>Desirable</w:t>
            </w:r>
          </w:p>
        </w:tc>
      </w:tr>
      <w:tr w:rsidR="00EA7526" w:rsidRPr="005837B8" w14:paraId="5A7BE9DD" w14:textId="77777777" w:rsidTr="00EA7526">
        <w:trPr>
          <w:trHeight w:val="272"/>
          <w:jc w:val="center"/>
        </w:trPr>
        <w:tc>
          <w:tcPr>
            <w:tcW w:w="9877" w:type="dxa"/>
            <w:gridSpan w:val="3"/>
            <w:shd w:val="clear" w:color="auto" w:fill="60D1E0"/>
          </w:tcPr>
          <w:p w14:paraId="5AEF5656" w14:textId="124C34B2" w:rsidR="00EA7526" w:rsidRDefault="00EA7526" w:rsidP="415786BC">
            <w:pPr>
              <w:rPr>
                <w:rFonts w:ascii="Arial" w:eastAsia="Calibri" w:hAnsi="Arial" w:cs="Arial"/>
                <w:b/>
                <w:bCs/>
              </w:rPr>
            </w:pPr>
            <w:r w:rsidRPr="3748F38B">
              <w:rPr>
                <w:rFonts w:ascii="Arial" w:eastAsia="Calibri" w:hAnsi="Arial" w:cs="Arial"/>
                <w:b/>
                <w:bCs/>
              </w:rPr>
              <w:t>Education and Qualifications</w:t>
            </w:r>
          </w:p>
        </w:tc>
      </w:tr>
      <w:tr w:rsidR="00E706BD" w:rsidRPr="005837B8" w14:paraId="0A85149C" w14:textId="77777777" w:rsidTr="415786BC">
        <w:trPr>
          <w:trHeight w:val="211"/>
          <w:jc w:val="center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C7A2F8" w14:textId="3614535C" w:rsidR="00E706BD" w:rsidRPr="004B6CCF" w:rsidRDefault="00E706BD" w:rsidP="00E706B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6CCF">
              <w:rPr>
                <w:rFonts w:ascii="Arial" w:hAnsi="Arial" w:cs="Arial"/>
                <w:sz w:val="22"/>
                <w:szCs w:val="22"/>
              </w:rPr>
              <w:t xml:space="preserve">Professional Accounting Qualification </w:t>
            </w:r>
            <w:r w:rsidR="00084F9D">
              <w:rPr>
                <w:rFonts w:ascii="Arial" w:hAnsi="Arial" w:cs="Arial"/>
                <w:sz w:val="22"/>
                <w:szCs w:val="22"/>
              </w:rPr>
              <w:t>(Minimum of ACA, ACCA, CIMA or CIPFA)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C3DC36" w14:textId="679FE53A" w:rsidR="00E706BD" w:rsidRPr="004B6CCF" w:rsidRDefault="00E706BD" w:rsidP="00E706B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6CC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E3CE79" w14:textId="77777777" w:rsidR="00E706BD" w:rsidRPr="004B6CCF" w:rsidRDefault="00E706BD" w:rsidP="00E706B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A7526" w:rsidRPr="005837B8" w14:paraId="54EE2FB9" w14:textId="77777777" w:rsidTr="00EA7526">
        <w:trPr>
          <w:trHeight w:val="272"/>
          <w:jc w:val="center"/>
        </w:trPr>
        <w:tc>
          <w:tcPr>
            <w:tcW w:w="9877" w:type="dxa"/>
            <w:gridSpan w:val="3"/>
            <w:shd w:val="clear" w:color="auto" w:fill="60D1E0"/>
          </w:tcPr>
          <w:p w14:paraId="2BD3A052" w14:textId="6FA95889" w:rsidR="00EA7526" w:rsidRDefault="00EA7526" w:rsidP="415786BC">
            <w:pPr>
              <w:rPr>
                <w:rFonts w:ascii="Arial" w:eastAsia="Calibri" w:hAnsi="Arial" w:cs="Arial"/>
                <w:b/>
                <w:bCs/>
              </w:rPr>
            </w:pPr>
            <w:r w:rsidRPr="3748F38B">
              <w:rPr>
                <w:rFonts w:ascii="Arial" w:eastAsia="Calibri" w:hAnsi="Arial" w:cs="Arial"/>
                <w:b/>
                <w:bCs/>
              </w:rPr>
              <w:t>Experience</w:t>
            </w:r>
          </w:p>
        </w:tc>
      </w:tr>
      <w:tr w:rsidR="00960200" w:rsidRPr="005837B8" w14:paraId="7C5EA66D" w14:textId="77777777" w:rsidTr="415786BC">
        <w:trPr>
          <w:trHeight w:val="272"/>
          <w:jc w:val="center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A9A599" w14:textId="29BEB0A9" w:rsidR="00960200" w:rsidRPr="004B6CCF" w:rsidRDefault="00960200" w:rsidP="0096020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6CCF">
              <w:rPr>
                <w:rFonts w:ascii="Arial" w:hAnsi="Arial" w:cs="Arial"/>
                <w:sz w:val="22"/>
                <w:szCs w:val="22"/>
              </w:rPr>
              <w:t>Strategic management in Finance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42ACCF" w14:textId="22347C12" w:rsidR="00960200" w:rsidRPr="004B6CCF" w:rsidRDefault="00960200" w:rsidP="0096020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6CC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EC4CF3" w14:textId="77777777" w:rsidR="00960200" w:rsidRPr="004B6CCF" w:rsidRDefault="00960200" w:rsidP="0096020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60200" w:rsidRPr="005837B8" w14:paraId="0629CF9B" w14:textId="77777777" w:rsidTr="415786BC">
        <w:trPr>
          <w:trHeight w:val="272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76F6B" w14:textId="4B89C603" w:rsidR="00960200" w:rsidRPr="004B6CCF" w:rsidRDefault="00960200" w:rsidP="0096020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6CCF">
              <w:rPr>
                <w:rFonts w:ascii="Arial" w:hAnsi="Arial" w:cs="Arial"/>
                <w:sz w:val="22"/>
                <w:szCs w:val="22"/>
              </w:rPr>
              <w:t>Staff leadership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A26B9" w14:textId="3F007489" w:rsidR="00960200" w:rsidRPr="004B6CCF" w:rsidRDefault="00960200" w:rsidP="0096020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6CC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C72A8" w14:textId="04F328B3" w:rsidR="00960200" w:rsidRPr="004B6CCF" w:rsidRDefault="00960200" w:rsidP="0096020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84F9D" w:rsidRPr="005837B8" w14:paraId="62FBE0E8" w14:textId="77777777" w:rsidTr="415786BC">
        <w:trPr>
          <w:trHeight w:val="272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1C95C" w14:textId="412C746F" w:rsidR="00084F9D" w:rsidRPr="004B6CCF" w:rsidRDefault="00084F9D" w:rsidP="00960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Tax and Treasury Management 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69801" w14:textId="77777777" w:rsidR="00084F9D" w:rsidRPr="004B6CCF" w:rsidRDefault="00084F9D" w:rsidP="00960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22013" w14:textId="5E9C9E5A" w:rsidR="00084F9D" w:rsidRPr="004B6CCF" w:rsidRDefault="00084F9D" w:rsidP="0096020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X </w:t>
            </w:r>
          </w:p>
        </w:tc>
      </w:tr>
      <w:tr w:rsidR="00084F9D" w:rsidRPr="005837B8" w14:paraId="5218B39A" w14:textId="77777777" w:rsidTr="415786BC">
        <w:trPr>
          <w:trHeight w:val="272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83915" w14:textId="50322605" w:rsidR="00084F9D" w:rsidRDefault="00084F9D" w:rsidP="00960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Relevant experience in housing or a similar regulated environment 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2A94D" w14:textId="77777777" w:rsidR="00084F9D" w:rsidRPr="004B6CCF" w:rsidRDefault="00084F9D" w:rsidP="00960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5E489" w14:textId="4996BC96" w:rsidR="00084F9D" w:rsidRDefault="00084F9D" w:rsidP="0096020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X </w:t>
            </w:r>
          </w:p>
        </w:tc>
      </w:tr>
      <w:tr w:rsidR="00EA7526" w:rsidRPr="005837B8" w14:paraId="48C7F784" w14:textId="77777777" w:rsidTr="00EA7526">
        <w:trPr>
          <w:trHeight w:val="291"/>
          <w:jc w:val="center"/>
        </w:trPr>
        <w:tc>
          <w:tcPr>
            <w:tcW w:w="9877" w:type="dxa"/>
            <w:gridSpan w:val="3"/>
            <w:shd w:val="clear" w:color="auto" w:fill="60D1E0"/>
          </w:tcPr>
          <w:p w14:paraId="24941D60" w14:textId="01A45397" w:rsidR="00EA7526" w:rsidRDefault="00EA7526" w:rsidP="415786BC">
            <w:pPr>
              <w:rPr>
                <w:rFonts w:ascii="Arial" w:eastAsia="Calibri" w:hAnsi="Arial" w:cs="Arial"/>
                <w:b/>
                <w:bCs/>
              </w:rPr>
            </w:pPr>
            <w:r w:rsidRPr="3748F38B">
              <w:rPr>
                <w:rFonts w:ascii="Arial" w:eastAsia="Calibri" w:hAnsi="Arial" w:cs="Arial"/>
                <w:b/>
                <w:bCs/>
              </w:rPr>
              <w:t xml:space="preserve">Skills, </w:t>
            </w:r>
            <w:proofErr w:type="gramStart"/>
            <w:r w:rsidRPr="3748F38B">
              <w:rPr>
                <w:rFonts w:ascii="Arial" w:eastAsia="Calibri" w:hAnsi="Arial" w:cs="Arial"/>
                <w:b/>
                <w:bCs/>
              </w:rPr>
              <w:t>knowledge</w:t>
            </w:r>
            <w:proofErr w:type="gramEnd"/>
            <w:r w:rsidRPr="3748F38B">
              <w:rPr>
                <w:rFonts w:ascii="Arial" w:eastAsia="Calibri" w:hAnsi="Arial" w:cs="Arial"/>
                <w:b/>
                <w:bCs/>
              </w:rPr>
              <w:t xml:space="preserve"> and ability</w:t>
            </w:r>
          </w:p>
        </w:tc>
      </w:tr>
      <w:tr w:rsidR="00E53C0C" w:rsidRPr="005837B8" w14:paraId="77B10E95" w14:textId="77777777" w:rsidTr="415786BC">
        <w:trPr>
          <w:trHeight w:val="291"/>
          <w:jc w:val="center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EC0493" w14:textId="06AFCDFE" w:rsidR="00E53C0C" w:rsidRPr="004B6CCF" w:rsidRDefault="00E53C0C" w:rsidP="00E53C0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6CCF">
              <w:rPr>
                <w:rFonts w:ascii="Arial" w:hAnsi="Arial" w:cs="Arial"/>
                <w:sz w:val="22"/>
                <w:szCs w:val="22"/>
              </w:rPr>
              <w:t>Excellent stakeholder management and communication</w:t>
            </w:r>
            <w:r w:rsidR="00BE62C9">
              <w:rPr>
                <w:rFonts w:ascii="Arial" w:hAnsi="Arial" w:cs="Arial"/>
                <w:sz w:val="22"/>
                <w:szCs w:val="22"/>
              </w:rPr>
              <w:t xml:space="preserve"> skills</w:t>
            </w:r>
            <w:r w:rsidR="00C61679">
              <w:rPr>
                <w:rFonts w:ascii="Arial" w:hAnsi="Arial" w:cs="Arial"/>
                <w:sz w:val="22"/>
                <w:szCs w:val="22"/>
              </w:rPr>
              <w:t xml:space="preserve">, including the ability to explain technical information to non-technical audiences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786A39" w14:textId="6A04EE69" w:rsidR="00E53C0C" w:rsidRPr="004B6CCF" w:rsidRDefault="00E53C0C" w:rsidP="00E53C0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6CC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8FD8FC" w14:textId="1185FEFC" w:rsidR="00E53C0C" w:rsidRPr="004B6CCF" w:rsidRDefault="00E53C0C" w:rsidP="00E53C0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61679" w:rsidRPr="005837B8" w14:paraId="42AA75A7" w14:textId="77777777" w:rsidTr="415786BC">
        <w:trPr>
          <w:trHeight w:val="291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9873D" w14:textId="4122898B" w:rsidR="00C61679" w:rsidRPr="004B6CCF" w:rsidRDefault="00BC1885" w:rsidP="00E53C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Evidence of providing inspirational leadership 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62579" w14:textId="77777777" w:rsidR="00C61679" w:rsidRPr="004B6CCF" w:rsidRDefault="00C61679" w:rsidP="00E53C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686588" w14:textId="51976E77" w:rsidR="00C61679" w:rsidRPr="004B6CCF" w:rsidRDefault="00BC1885" w:rsidP="00E53C0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X </w:t>
            </w:r>
          </w:p>
        </w:tc>
      </w:tr>
      <w:tr w:rsidR="00E53C0C" w:rsidRPr="005837B8" w14:paraId="05B1595B" w14:textId="77777777" w:rsidTr="415786BC">
        <w:trPr>
          <w:trHeight w:val="291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E21C8" w14:textId="2C606DFF" w:rsidR="00E53C0C" w:rsidRPr="004B6CCF" w:rsidRDefault="00E53C0C" w:rsidP="00E53C0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6CCF">
              <w:rPr>
                <w:rFonts w:ascii="Arial" w:hAnsi="Arial" w:cs="Arial"/>
                <w:color w:val="000000"/>
                <w:sz w:val="22"/>
                <w:szCs w:val="22"/>
              </w:rPr>
              <w:t xml:space="preserve">High level of ability to gather, </w:t>
            </w:r>
            <w:proofErr w:type="spellStart"/>
            <w:r w:rsidRPr="004B6CCF">
              <w:rPr>
                <w:rFonts w:ascii="Arial" w:hAnsi="Arial" w:cs="Arial"/>
                <w:color w:val="000000"/>
                <w:sz w:val="22"/>
                <w:szCs w:val="22"/>
              </w:rPr>
              <w:t>analyse</w:t>
            </w:r>
            <w:proofErr w:type="spellEnd"/>
            <w:r w:rsidRPr="004B6CCF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interpret information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B2E094" w14:textId="0A689C5E" w:rsidR="00E53C0C" w:rsidRPr="004B6CCF" w:rsidRDefault="00E53C0C" w:rsidP="00E53C0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6CC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5E6F65" w14:textId="77777777" w:rsidR="00E53C0C" w:rsidRPr="004B6CCF" w:rsidRDefault="00E53C0C" w:rsidP="00E53C0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B521B" w:rsidRPr="005837B8" w14:paraId="7DB0B37E" w14:textId="77777777" w:rsidTr="415786BC">
        <w:trPr>
          <w:trHeight w:val="291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E903A" w14:textId="0740A204" w:rsidR="00DB521B" w:rsidRPr="004B6CCF" w:rsidRDefault="00DB521B" w:rsidP="00E53C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use Microsoft Office 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6FE446" w14:textId="2E811753" w:rsidR="00DB521B" w:rsidRPr="004B6CCF" w:rsidRDefault="00DB521B" w:rsidP="00E53C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953E26" w14:textId="77777777" w:rsidR="00DB521B" w:rsidRPr="004B6CCF" w:rsidRDefault="00DB521B" w:rsidP="00E53C0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B521B" w:rsidRPr="005837B8" w14:paraId="3634CACD" w14:textId="77777777" w:rsidTr="415786BC">
        <w:trPr>
          <w:trHeight w:val="291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497C0" w14:textId="398ABD3E" w:rsidR="00DB521B" w:rsidRDefault="009253A1" w:rsidP="00E53C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Knowledge / experience of using BRIXX 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FE8154" w14:textId="77777777" w:rsidR="00DB521B" w:rsidRDefault="00DB521B" w:rsidP="00E53C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B478E3" w14:textId="56940162" w:rsidR="00DB521B" w:rsidRPr="004B6CCF" w:rsidRDefault="009253A1" w:rsidP="00E53C0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X </w:t>
            </w:r>
          </w:p>
        </w:tc>
      </w:tr>
      <w:tr w:rsidR="00E53C0C" w:rsidRPr="005837B8" w14:paraId="0C310E17" w14:textId="77777777" w:rsidTr="415786BC">
        <w:trPr>
          <w:trHeight w:val="291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19A85" w14:textId="39044CCC" w:rsidR="00E53C0C" w:rsidRPr="004B6CCF" w:rsidRDefault="00E53C0C" w:rsidP="00E53C0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B6CCF">
              <w:rPr>
                <w:rFonts w:ascii="Arial" w:hAnsi="Arial" w:cs="Arial"/>
                <w:color w:val="000000"/>
                <w:sz w:val="22"/>
                <w:szCs w:val="22"/>
              </w:rPr>
              <w:t>Ability to develop and drive high performing culture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219C7C" w14:textId="7503077F" w:rsidR="00E53C0C" w:rsidRPr="004B6CCF" w:rsidRDefault="00E53C0C" w:rsidP="00E53C0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6CC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7D156B" w14:textId="77777777" w:rsidR="00E53C0C" w:rsidRPr="004B6CCF" w:rsidRDefault="00E53C0C" w:rsidP="00E53C0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53C0C" w:rsidRPr="005837B8" w14:paraId="21A2B451" w14:textId="77777777" w:rsidTr="415786BC">
        <w:trPr>
          <w:trHeight w:val="291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4FF2F" w14:textId="09BAB654" w:rsidR="00E53C0C" w:rsidRPr="004B6CCF" w:rsidRDefault="00E53C0C" w:rsidP="00E53C0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B6CCF">
              <w:rPr>
                <w:rFonts w:ascii="Arial" w:hAnsi="Arial" w:cs="Arial"/>
                <w:color w:val="000000"/>
                <w:sz w:val="22"/>
                <w:szCs w:val="22"/>
              </w:rPr>
              <w:t>Ability to drive efficiency and customer excellence throughout the team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6E8271" w14:textId="5AF15A21" w:rsidR="00E53C0C" w:rsidRPr="004B6CCF" w:rsidRDefault="00E53C0C" w:rsidP="00E53C0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6CC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8F171E" w14:textId="77777777" w:rsidR="00E53C0C" w:rsidRPr="004B6CCF" w:rsidRDefault="00E53C0C" w:rsidP="00E53C0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A7526" w:rsidRPr="005837B8" w14:paraId="2ADD7345" w14:textId="77777777" w:rsidTr="00EA7526">
        <w:trPr>
          <w:trHeight w:val="291"/>
          <w:jc w:val="center"/>
        </w:trPr>
        <w:tc>
          <w:tcPr>
            <w:tcW w:w="9877" w:type="dxa"/>
            <w:gridSpan w:val="3"/>
            <w:shd w:val="clear" w:color="auto" w:fill="60D1E0"/>
          </w:tcPr>
          <w:p w14:paraId="5196C737" w14:textId="269318C3" w:rsidR="00EA7526" w:rsidRDefault="00EA7526" w:rsidP="415786BC">
            <w:pPr>
              <w:rPr>
                <w:rFonts w:ascii="Arial" w:eastAsia="Calibri" w:hAnsi="Arial" w:cs="Arial"/>
                <w:b/>
                <w:bCs/>
              </w:rPr>
            </w:pPr>
            <w:r w:rsidRPr="3748F38B">
              <w:rPr>
                <w:rFonts w:ascii="Arial" w:eastAsia="Calibri" w:hAnsi="Arial" w:cs="Arial"/>
                <w:b/>
                <w:bCs/>
              </w:rPr>
              <w:t>Personal characteristics</w:t>
            </w:r>
          </w:p>
        </w:tc>
      </w:tr>
      <w:tr w:rsidR="00C531F5" w:rsidRPr="005837B8" w14:paraId="5364CD8A" w14:textId="77777777" w:rsidTr="415786BC">
        <w:trPr>
          <w:trHeight w:val="291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BEC38" w14:textId="440533F8" w:rsidR="00C531F5" w:rsidRPr="004B6CCF" w:rsidRDefault="00C531F5" w:rsidP="00C531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6CCF">
              <w:rPr>
                <w:rFonts w:ascii="Arial" w:hAnsi="Arial" w:cs="Arial"/>
                <w:sz w:val="22"/>
                <w:szCs w:val="22"/>
              </w:rPr>
              <w:t>Takes ownership &amp; accountability for own role and for team outputs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1E521" w14:textId="16A79B0C" w:rsidR="00C531F5" w:rsidRPr="004B6CCF" w:rsidRDefault="00C531F5" w:rsidP="00C531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6CC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7FF317" w14:textId="77777777" w:rsidR="00C531F5" w:rsidRPr="004B6CCF" w:rsidRDefault="00C531F5" w:rsidP="00C531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531F5" w:rsidRPr="005837B8" w14:paraId="22B669A9" w14:textId="77777777" w:rsidTr="415786BC">
        <w:trPr>
          <w:trHeight w:val="291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5E0A6" w14:textId="41670405" w:rsidR="00C531F5" w:rsidRPr="004B6CCF" w:rsidRDefault="00C531F5" w:rsidP="00C531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6CCF">
              <w:rPr>
                <w:rFonts w:ascii="Arial" w:hAnsi="Arial" w:cs="Arial"/>
                <w:sz w:val="22"/>
                <w:szCs w:val="22"/>
              </w:rPr>
              <w:t>Creative and commercially astute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3838F0" w14:textId="79777341" w:rsidR="00C531F5" w:rsidRPr="004B6CCF" w:rsidRDefault="00C531F5" w:rsidP="00C531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ED39F6" w14:textId="768D8B1B" w:rsidR="00C531F5" w:rsidRPr="004B6CCF" w:rsidRDefault="00456D1E" w:rsidP="00C531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</w:tr>
      <w:tr w:rsidR="00C531F5" w:rsidRPr="005837B8" w14:paraId="547F86CB" w14:textId="77777777" w:rsidTr="415786BC">
        <w:trPr>
          <w:trHeight w:val="291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E1161" w14:textId="4BD34927" w:rsidR="00C531F5" w:rsidRPr="004B6CCF" w:rsidRDefault="00C531F5" w:rsidP="00C531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6CCF">
              <w:rPr>
                <w:rFonts w:ascii="Arial" w:hAnsi="Arial" w:cs="Arial"/>
                <w:color w:val="000000"/>
                <w:sz w:val="22"/>
                <w:szCs w:val="22"/>
              </w:rPr>
              <w:t>Can demonstrate and encourage cross departmental working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5DA5CE" w14:textId="03AA2ACC" w:rsidR="00C531F5" w:rsidRPr="004B6CCF" w:rsidRDefault="00C531F5" w:rsidP="00C531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6CC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AEBB6E" w14:textId="77777777" w:rsidR="00C531F5" w:rsidRPr="004B6CCF" w:rsidRDefault="00C531F5" w:rsidP="00C531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A7526" w:rsidRPr="005837B8" w14:paraId="5E38D263" w14:textId="77777777" w:rsidTr="00EA7526">
        <w:trPr>
          <w:trHeight w:val="291"/>
          <w:jc w:val="center"/>
        </w:trPr>
        <w:tc>
          <w:tcPr>
            <w:tcW w:w="9877" w:type="dxa"/>
            <w:gridSpan w:val="3"/>
            <w:shd w:val="clear" w:color="auto" w:fill="60D1E0"/>
          </w:tcPr>
          <w:p w14:paraId="34B82B05" w14:textId="0A8FDCAF" w:rsidR="00EA7526" w:rsidRDefault="00EA7526" w:rsidP="415786BC">
            <w:pPr>
              <w:rPr>
                <w:rFonts w:ascii="Arial" w:eastAsia="Calibri" w:hAnsi="Arial" w:cs="Arial"/>
                <w:b/>
                <w:bCs/>
              </w:rPr>
            </w:pPr>
            <w:r w:rsidRPr="3748F38B">
              <w:rPr>
                <w:rFonts w:ascii="Arial" w:eastAsia="Calibri" w:hAnsi="Arial" w:cs="Arial"/>
                <w:b/>
                <w:bCs/>
              </w:rPr>
              <w:t>Other</w:t>
            </w:r>
          </w:p>
        </w:tc>
      </w:tr>
      <w:tr w:rsidR="00420E95" w:rsidRPr="005837B8" w14:paraId="0D2031F0" w14:textId="77777777" w:rsidTr="415786BC">
        <w:trPr>
          <w:trHeight w:val="291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8040" w14:textId="51234605" w:rsidR="00420E95" w:rsidRPr="004B6CCF" w:rsidRDefault="00420E95" w:rsidP="00420E9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6CCF">
              <w:rPr>
                <w:rFonts w:ascii="Arial" w:hAnsi="Arial" w:cs="Arial"/>
                <w:sz w:val="22"/>
                <w:szCs w:val="22"/>
              </w:rPr>
              <w:lastRenderedPageBreak/>
              <w:t>Flexible approach to hours worked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E88C" w14:textId="514204F5" w:rsidR="00420E95" w:rsidRPr="004B6CCF" w:rsidRDefault="00420E95" w:rsidP="00420E9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6CC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1FC5" w14:textId="77777777" w:rsidR="00420E95" w:rsidRPr="004B6CCF" w:rsidRDefault="00420E95" w:rsidP="00420E9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6EF7F0BA" w14:textId="5ABBB4CE" w:rsidR="002C3D30" w:rsidRPr="005837B8" w:rsidRDefault="002C3D30" w:rsidP="415786BC">
      <w:pPr>
        <w:spacing w:after="120"/>
        <w:rPr>
          <w:rFonts w:ascii="Arial" w:eastAsia="Calibri" w:hAnsi="Arial" w:cs="Arial"/>
          <w:sz w:val="22"/>
          <w:szCs w:val="22"/>
        </w:rPr>
      </w:pPr>
    </w:p>
    <w:sectPr w:rsidR="002C3D30" w:rsidRPr="005837B8" w:rsidSect="00B9250B">
      <w:headerReference w:type="even" r:id="rId12"/>
      <w:headerReference w:type="default" r:id="rId13"/>
      <w:footerReference w:type="default" r:id="rId14"/>
      <w:headerReference w:type="first" r:id="rId15"/>
      <w:pgSz w:w="11900" w:h="16820"/>
      <w:pgMar w:top="43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642C6" w14:textId="77777777" w:rsidR="00436908" w:rsidRDefault="00436908" w:rsidP="00DB2412">
      <w:r>
        <w:separator/>
      </w:r>
    </w:p>
  </w:endnote>
  <w:endnote w:type="continuationSeparator" w:id="0">
    <w:p w14:paraId="5679202B" w14:textId="77777777" w:rsidR="00436908" w:rsidRDefault="00436908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03D3" w14:textId="77777777" w:rsidR="00865B81" w:rsidRDefault="00865B81" w:rsidP="003D629E">
    <w:pPr>
      <w:pStyle w:val="Footer"/>
    </w:pPr>
  </w:p>
  <w:p w14:paraId="74FA5E7C" w14:textId="22A42C9F" w:rsidR="00865B81" w:rsidRPr="003D629E" w:rsidRDefault="00CB42EA" w:rsidP="003D629E">
    <w:pPr>
      <w:pStyle w:val="Footer"/>
    </w:pPr>
    <w:proofErr w:type="spellStart"/>
    <w:proofErr w:type="gramStart"/>
    <w:r>
      <w:t>FPR.Finance.</w:t>
    </w:r>
    <w:r w:rsidR="00865B81">
      <w:t>Financial</w:t>
    </w:r>
    <w:proofErr w:type="spellEnd"/>
    <w:proofErr w:type="gramEnd"/>
    <w:r w:rsidR="00865B81">
      <w:t xml:space="preserve"> Controller</w:t>
    </w:r>
    <w:r>
      <w:t>.202</w:t>
    </w:r>
    <w:r w:rsidR="004B309B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D62D" w14:textId="77777777" w:rsidR="00436908" w:rsidRDefault="00436908" w:rsidP="00DB2412">
      <w:r>
        <w:separator/>
      </w:r>
    </w:p>
  </w:footnote>
  <w:footnote w:type="continuationSeparator" w:id="0">
    <w:p w14:paraId="5EDCC4AC" w14:textId="77777777" w:rsidR="00436908" w:rsidRDefault="00436908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8FC4" w14:textId="63547FA4" w:rsidR="003D0398" w:rsidRDefault="003D03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9ACF" w14:textId="3BB1B20F" w:rsidR="00985675" w:rsidRDefault="00985675" w:rsidP="00DB2412">
    <w:pPr>
      <w:pStyle w:val="Header"/>
      <w:ind w:left="-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3B19" w14:textId="5C4BCF17" w:rsidR="003D0398" w:rsidRDefault="003D0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10D47"/>
    <w:multiLevelType w:val="hybridMultilevel"/>
    <w:tmpl w:val="0682F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3437A0"/>
    <w:multiLevelType w:val="hybridMultilevel"/>
    <w:tmpl w:val="A9C21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Legal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20612"/>
    <w:multiLevelType w:val="hybridMultilevel"/>
    <w:tmpl w:val="21B68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F7E66"/>
    <w:multiLevelType w:val="hybridMultilevel"/>
    <w:tmpl w:val="EA7E803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E05160"/>
    <w:multiLevelType w:val="hybridMultilevel"/>
    <w:tmpl w:val="A9384E9E"/>
    <w:lvl w:ilvl="0" w:tplc="3B64E5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E3062"/>
    <w:multiLevelType w:val="hybridMultilevel"/>
    <w:tmpl w:val="BF9C3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1A2AB0"/>
    <w:multiLevelType w:val="hybridMultilevel"/>
    <w:tmpl w:val="62FCF032"/>
    <w:lvl w:ilvl="0" w:tplc="2F9E4A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B51EE"/>
    <w:multiLevelType w:val="hybridMultilevel"/>
    <w:tmpl w:val="AE824B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5411F9"/>
    <w:multiLevelType w:val="hybridMultilevel"/>
    <w:tmpl w:val="49B88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14C"/>
    <w:rsid w:val="000016BA"/>
    <w:rsid w:val="0000210B"/>
    <w:rsid w:val="00002870"/>
    <w:rsid w:val="00002886"/>
    <w:rsid w:val="0000377C"/>
    <w:rsid w:val="00005410"/>
    <w:rsid w:val="000102CA"/>
    <w:rsid w:val="00015783"/>
    <w:rsid w:val="000179F7"/>
    <w:rsid w:val="00017BCF"/>
    <w:rsid w:val="000225B5"/>
    <w:rsid w:val="00031D44"/>
    <w:rsid w:val="000348ED"/>
    <w:rsid w:val="000355E5"/>
    <w:rsid w:val="0003574E"/>
    <w:rsid w:val="00036EE3"/>
    <w:rsid w:val="00037130"/>
    <w:rsid w:val="00037616"/>
    <w:rsid w:val="00042096"/>
    <w:rsid w:val="00043A4A"/>
    <w:rsid w:val="00043E1E"/>
    <w:rsid w:val="0004655A"/>
    <w:rsid w:val="000537F8"/>
    <w:rsid w:val="00054E65"/>
    <w:rsid w:val="00060025"/>
    <w:rsid w:val="00063176"/>
    <w:rsid w:val="00065ABC"/>
    <w:rsid w:val="000707ED"/>
    <w:rsid w:val="00070C9E"/>
    <w:rsid w:val="000723AD"/>
    <w:rsid w:val="00074551"/>
    <w:rsid w:val="00082047"/>
    <w:rsid w:val="00084D27"/>
    <w:rsid w:val="00084F9D"/>
    <w:rsid w:val="00090D3B"/>
    <w:rsid w:val="00097BD9"/>
    <w:rsid w:val="000A12F9"/>
    <w:rsid w:val="000A147A"/>
    <w:rsid w:val="000A5021"/>
    <w:rsid w:val="000A6963"/>
    <w:rsid w:val="000B7CA8"/>
    <w:rsid w:val="000C0B83"/>
    <w:rsid w:val="000C3BB2"/>
    <w:rsid w:val="000D2605"/>
    <w:rsid w:val="000D4D2C"/>
    <w:rsid w:val="000E30C5"/>
    <w:rsid w:val="000F1A0D"/>
    <w:rsid w:val="000F31E5"/>
    <w:rsid w:val="000F6920"/>
    <w:rsid w:val="000F7DB0"/>
    <w:rsid w:val="001012E5"/>
    <w:rsid w:val="00103888"/>
    <w:rsid w:val="0010460F"/>
    <w:rsid w:val="00107A05"/>
    <w:rsid w:val="00111421"/>
    <w:rsid w:val="001115ED"/>
    <w:rsid w:val="0011268D"/>
    <w:rsid w:val="001157EC"/>
    <w:rsid w:val="001167C7"/>
    <w:rsid w:val="001172AC"/>
    <w:rsid w:val="001210AB"/>
    <w:rsid w:val="001241A2"/>
    <w:rsid w:val="00125AE4"/>
    <w:rsid w:val="0013005B"/>
    <w:rsid w:val="001361CA"/>
    <w:rsid w:val="00140C88"/>
    <w:rsid w:val="00143DFC"/>
    <w:rsid w:val="001516CA"/>
    <w:rsid w:val="00153C41"/>
    <w:rsid w:val="0015789E"/>
    <w:rsid w:val="00160F73"/>
    <w:rsid w:val="0016126A"/>
    <w:rsid w:val="001623F5"/>
    <w:rsid w:val="001629B4"/>
    <w:rsid w:val="00162D8A"/>
    <w:rsid w:val="00165169"/>
    <w:rsid w:val="00166F48"/>
    <w:rsid w:val="00167BEE"/>
    <w:rsid w:val="001729DC"/>
    <w:rsid w:val="00174936"/>
    <w:rsid w:val="0017774F"/>
    <w:rsid w:val="0017776C"/>
    <w:rsid w:val="00190DB9"/>
    <w:rsid w:val="001A04A4"/>
    <w:rsid w:val="001A26AD"/>
    <w:rsid w:val="001A6B9D"/>
    <w:rsid w:val="001B338F"/>
    <w:rsid w:val="001B3A40"/>
    <w:rsid w:val="001B4B8C"/>
    <w:rsid w:val="001B5B78"/>
    <w:rsid w:val="001B5C23"/>
    <w:rsid w:val="001B6BD5"/>
    <w:rsid w:val="001C0ACF"/>
    <w:rsid w:val="001C125B"/>
    <w:rsid w:val="001C5EC4"/>
    <w:rsid w:val="001C72CC"/>
    <w:rsid w:val="001C7AFD"/>
    <w:rsid w:val="001C7BA2"/>
    <w:rsid w:val="001E2DDF"/>
    <w:rsid w:val="001E32D5"/>
    <w:rsid w:val="001E6E12"/>
    <w:rsid w:val="001E7225"/>
    <w:rsid w:val="001F0AAE"/>
    <w:rsid w:val="001F612B"/>
    <w:rsid w:val="00201209"/>
    <w:rsid w:val="00204E2F"/>
    <w:rsid w:val="00204E79"/>
    <w:rsid w:val="00210087"/>
    <w:rsid w:val="002131F1"/>
    <w:rsid w:val="00216AF6"/>
    <w:rsid w:val="00222809"/>
    <w:rsid w:val="002242F7"/>
    <w:rsid w:val="00224B2A"/>
    <w:rsid w:val="0022517C"/>
    <w:rsid w:val="00227B2C"/>
    <w:rsid w:val="002338EA"/>
    <w:rsid w:val="00233EC6"/>
    <w:rsid w:val="00233F98"/>
    <w:rsid w:val="00246934"/>
    <w:rsid w:val="002525A2"/>
    <w:rsid w:val="00254FA5"/>
    <w:rsid w:val="0025598C"/>
    <w:rsid w:val="0026295D"/>
    <w:rsid w:val="002632C1"/>
    <w:rsid w:val="00275380"/>
    <w:rsid w:val="00275D44"/>
    <w:rsid w:val="0028063E"/>
    <w:rsid w:val="002812FB"/>
    <w:rsid w:val="00281AEF"/>
    <w:rsid w:val="00283E10"/>
    <w:rsid w:val="0028748B"/>
    <w:rsid w:val="002910A2"/>
    <w:rsid w:val="0029214C"/>
    <w:rsid w:val="00292209"/>
    <w:rsid w:val="00293351"/>
    <w:rsid w:val="0029613E"/>
    <w:rsid w:val="00296933"/>
    <w:rsid w:val="00296A74"/>
    <w:rsid w:val="002A0E50"/>
    <w:rsid w:val="002A5135"/>
    <w:rsid w:val="002B00F0"/>
    <w:rsid w:val="002B0728"/>
    <w:rsid w:val="002B3133"/>
    <w:rsid w:val="002B358C"/>
    <w:rsid w:val="002B4AE4"/>
    <w:rsid w:val="002B62EF"/>
    <w:rsid w:val="002B720E"/>
    <w:rsid w:val="002C3D30"/>
    <w:rsid w:val="002C539D"/>
    <w:rsid w:val="002C552C"/>
    <w:rsid w:val="002C5B1E"/>
    <w:rsid w:val="002C6065"/>
    <w:rsid w:val="002C6E0B"/>
    <w:rsid w:val="002D018D"/>
    <w:rsid w:val="002D1355"/>
    <w:rsid w:val="002D58D8"/>
    <w:rsid w:val="002D58FD"/>
    <w:rsid w:val="002E0A7B"/>
    <w:rsid w:val="002E25CB"/>
    <w:rsid w:val="002E778F"/>
    <w:rsid w:val="002E7BDD"/>
    <w:rsid w:val="002F2D9C"/>
    <w:rsid w:val="002F6B13"/>
    <w:rsid w:val="00302C6D"/>
    <w:rsid w:val="003030E4"/>
    <w:rsid w:val="003030EE"/>
    <w:rsid w:val="00320605"/>
    <w:rsid w:val="00326ED0"/>
    <w:rsid w:val="003271C4"/>
    <w:rsid w:val="00331D5E"/>
    <w:rsid w:val="00335FC6"/>
    <w:rsid w:val="00342A08"/>
    <w:rsid w:val="00345044"/>
    <w:rsid w:val="00346524"/>
    <w:rsid w:val="003522FB"/>
    <w:rsid w:val="00354C12"/>
    <w:rsid w:val="00354C75"/>
    <w:rsid w:val="00355C7C"/>
    <w:rsid w:val="0035688A"/>
    <w:rsid w:val="003578DB"/>
    <w:rsid w:val="00360CC7"/>
    <w:rsid w:val="00361E63"/>
    <w:rsid w:val="003637B9"/>
    <w:rsid w:val="003657DD"/>
    <w:rsid w:val="00367298"/>
    <w:rsid w:val="00377A8B"/>
    <w:rsid w:val="003812D1"/>
    <w:rsid w:val="00382771"/>
    <w:rsid w:val="00387016"/>
    <w:rsid w:val="003A024C"/>
    <w:rsid w:val="003A2D68"/>
    <w:rsid w:val="003A6269"/>
    <w:rsid w:val="003A7B1C"/>
    <w:rsid w:val="003B2021"/>
    <w:rsid w:val="003B5942"/>
    <w:rsid w:val="003C2978"/>
    <w:rsid w:val="003C3F03"/>
    <w:rsid w:val="003C724C"/>
    <w:rsid w:val="003D0398"/>
    <w:rsid w:val="003D25C0"/>
    <w:rsid w:val="003D6150"/>
    <w:rsid w:val="003D629E"/>
    <w:rsid w:val="003D6D2E"/>
    <w:rsid w:val="003E13FF"/>
    <w:rsid w:val="003E2746"/>
    <w:rsid w:val="003E2E8C"/>
    <w:rsid w:val="003E4F0D"/>
    <w:rsid w:val="003F06B1"/>
    <w:rsid w:val="003F2945"/>
    <w:rsid w:val="003F72AC"/>
    <w:rsid w:val="003F7440"/>
    <w:rsid w:val="00402865"/>
    <w:rsid w:val="00402D78"/>
    <w:rsid w:val="0040428F"/>
    <w:rsid w:val="0040453A"/>
    <w:rsid w:val="004047AB"/>
    <w:rsid w:val="00406144"/>
    <w:rsid w:val="0040658F"/>
    <w:rsid w:val="00407203"/>
    <w:rsid w:val="004126F7"/>
    <w:rsid w:val="00415427"/>
    <w:rsid w:val="004203D3"/>
    <w:rsid w:val="00420788"/>
    <w:rsid w:val="00420E95"/>
    <w:rsid w:val="004211D1"/>
    <w:rsid w:val="004227A1"/>
    <w:rsid w:val="00424057"/>
    <w:rsid w:val="00424823"/>
    <w:rsid w:val="004249E9"/>
    <w:rsid w:val="004268E4"/>
    <w:rsid w:val="00431837"/>
    <w:rsid w:val="00432018"/>
    <w:rsid w:val="00432D29"/>
    <w:rsid w:val="00436908"/>
    <w:rsid w:val="00437607"/>
    <w:rsid w:val="00442819"/>
    <w:rsid w:val="0044347D"/>
    <w:rsid w:val="00443F31"/>
    <w:rsid w:val="00445C0B"/>
    <w:rsid w:val="004474AD"/>
    <w:rsid w:val="004529BB"/>
    <w:rsid w:val="00452F26"/>
    <w:rsid w:val="004552AC"/>
    <w:rsid w:val="00455EF8"/>
    <w:rsid w:val="00456D1E"/>
    <w:rsid w:val="00460990"/>
    <w:rsid w:val="0046543F"/>
    <w:rsid w:val="00470A20"/>
    <w:rsid w:val="00470D73"/>
    <w:rsid w:val="004717C3"/>
    <w:rsid w:val="00471B8B"/>
    <w:rsid w:val="00471C74"/>
    <w:rsid w:val="00472E9D"/>
    <w:rsid w:val="00473005"/>
    <w:rsid w:val="0047575D"/>
    <w:rsid w:val="004766EF"/>
    <w:rsid w:val="00476D99"/>
    <w:rsid w:val="00482E66"/>
    <w:rsid w:val="004838E3"/>
    <w:rsid w:val="00487770"/>
    <w:rsid w:val="00492262"/>
    <w:rsid w:val="0049296E"/>
    <w:rsid w:val="00492BDB"/>
    <w:rsid w:val="00492EED"/>
    <w:rsid w:val="00493441"/>
    <w:rsid w:val="004937B7"/>
    <w:rsid w:val="00495AC9"/>
    <w:rsid w:val="004A2939"/>
    <w:rsid w:val="004A440B"/>
    <w:rsid w:val="004A48B3"/>
    <w:rsid w:val="004A4993"/>
    <w:rsid w:val="004A5549"/>
    <w:rsid w:val="004A60EE"/>
    <w:rsid w:val="004B0063"/>
    <w:rsid w:val="004B309B"/>
    <w:rsid w:val="004B33B4"/>
    <w:rsid w:val="004B348F"/>
    <w:rsid w:val="004B5276"/>
    <w:rsid w:val="004B6CCF"/>
    <w:rsid w:val="004C1C49"/>
    <w:rsid w:val="004C2200"/>
    <w:rsid w:val="004C74B9"/>
    <w:rsid w:val="004D251B"/>
    <w:rsid w:val="004D333C"/>
    <w:rsid w:val="004D44FF"/>
    <w:rsid w:val="004D505F"/>
    <w:rsid w:val="004F0215"/>
    <w:rsid w:val="004F33B6"/>
    <w:rsid w:val="004F4BB8"/>
    <w:rsid w:val="004F4DB7"/>
    <w:rsid w:val="00500EAD"/>
    <w:rsid w:val="005025BC"/>
    <w:rsid w:val="00502F0F"/>
    <w:rsid w:val="00510A5F"/>
    <w:rsid w:val="00517C4B"/>
    <w:rsid w:val="0052149D"/>
    <w:rsid w:val="00521969"/>
    <w:rsid w:val="00521B7A"/>
    <w:rsid w:val="00523965"/>
    <w:rsid w:val="00525BC5"/>
    <w:rsid w:val="00525D99"/>
    <w:rsid w:val="0052725A"/>
    <w:rsid w:val="005302C5"/>
    <w:rsid w:val="0053081B"/>
    <w:rsid w:val="00530FE1"/>
    <w:rsid w:val="00537F36"/>
    <w:rsid w:val="00540079"/>
    <w:rsid w:val="00542B31"/>
    <w:rsid w:val="00543EAB"/>
    <w:rsid w:val="0054585E"/>
    <w:rsid w:val="00545C1E"/>
    <w:rsid w:val="00546C39"/>
    <w:rsid w:val="00546F8A"/>
    <w:rsid w:val="00560BE2"/>
    <w:rsid w:val="00565B3E"/>
    <w:rsid w:val="005664DD"/>
    <w:rsid w:val="00570A99"/>
    <w:rsid w:val="00572B66"/>
    <w:rsid w:val="005735B6"/>
    <w:rsid w:val="00573B61"/>
    <w:rsid w:val="00575288"/>
    <w:rsid w:val="005752BC"/>
    <w:rsid w:val="0057533A"/>
    <w:rsid w:val="00576D6E"/>
    <w:rsid w:val="00581550"/>
    <w:rsid w:val="00582A85"/>
    <w:rsid w:val="00583784"/>
    <w:rsid w:val="005837B8"/>
    <w:rsid w:val="005874CB"/>
    <w:rsid w:val="0059083D"/>
    <w:rsid w:val="00592968"/>
    <w:rsid w:val="005A0801"/>
    <w:rsid w:val="005A0936"/>
    <w:rsid w:val="005A42B5"/>
    <w:rsid w:val="005A68E2"/>
    <w:rsid w:val="005B2677"/>
    <w:rsid w:val="005B4355"/>
    <w:rsid w:val="005B5477"/>
    <w:rsid w:val="005B67C2"/>
    <w:rsid w:val="005B7BF8"/>
    <w:rsid w:val="005C28EB"/>
    <w:rsid w:val="005D3255"/>
    <w:rsid w:val="005D716E"/>
    <w:rsid w:val="005D75E3"/>
    <w:rsid w:val="005E0D46"/>
    <w:rsid w:val="005E1F7C"/>
    <w:rsid w:val="005E2A18"/>
    <w:rsid w:val="005E4D7D"/>
    <w:rsid w:val="005E5ED5"/>
    <w:rsid w:val="005F1001"/>
    <w:rsid w:val="005F2B18"/>
    <w:rsid w:val="005F3B33"/>
    <w:rsid w:val="005F7D76"/>
    <w:rsid w:val="0061428E"/>
    <w:rsid w:val="006154AC"/>
    <w:rsid w:val="00625C2F"/>
    <w:rsid w:val="006272D1"/>
    <w:rsid w:val="00633815"/>
    <w:rsid w:val="00636949"/>
    <w:rsid w:val="0063726D"/>
    <w:rsid w:val="00644FD9"/>
    <w:rsid w:val="00645A6B"/>
    <w:rsid w:val="00647DAC"/>
    <w:rsid w:val="00655F1F"/>
    <w:rsid w:val="0065609B"/>
    <w:rsid w:val="0066454A"/>
    <w:rsid w:val="00665891"/>
    <w:rsid w:val="00665BF2"/>
    <w:rsid w:val="00666DFF"/>
    <w:rsid w:val="00672D20"/>
    <w:rsid w:val="00680263"/>
    <w:rsid w:val="00681F38"/>
    <w:rsid w:val="006842AF"/>
    <w:rsid w:val="0069150F"/>
    <w:rsid w:val="0069223D"/>
    <w:rsid w:val="006A3315"/>
    <w:rsid w:val="006A491B"/>
    <w:rsid w:val="006A695C"/>
    <w:rsid w:val="006A7FB5"/>
    <w:rsid w:val="006B233B"/>
    <w:rsid w:val="006B3B2E"/>
    <w:rsid w:val="006B79A9"/>
    <w:rsid w:val="006C02D1"/>
    <w:rsid w:val="006C36E6"/>
    <w:rsid w:val="006C4742"/>
    <w:rsid w:val="006C7676"/>
    <w:rsid w:val="006E05AA"/>
    <w:rsid w:val="006E34FF"/>
    <w:rsid w:val="006E4F6E"/>
    <w:rsid w:val="006F565B"/>
    <w:rsid w:val="006F6FDB"/>
    <w:rsid w:val="00700904"/>
    <w:rsid w:val="007025AF"/>
    <w:rsid w:val="007042CC"/>
    <w:rsid w:val="0070494E"/>
    <w:rsid w:val="007118BE"/>
    <w:rsid w:val="00711E5B"/>
    <w:rsid w:val="00712168"/>
    <w:rsid w:val="00712665"/>
    <w:rsid w:val="00713E01"/>
    <w:rsid w:val="007144BD"/>
    <w:rsid w:val="00716E93"/>
    <w:rsid w:val="00716FED"/>
    <w:rsid w:val="00721119"/>
    <w:rsid w:val="007213B4"/>
    <w:rsid w:val="007247E0"/>
    <w:rsid w:val="007266EE"/>
    <w:rsid w:val="0072796B"/>
    <w:rsid w:val="00727A5A"/>
    <w:rsid w:val="00727F9F"/>
    <w:rsid w:val="007318AA"/>
    <w:rsid w:val="00734610"/>
    <w:rsid w:val="00735DAF"/>
    <w:rsid w:val="00737603"/>
    <w:rsid w:val="0074149F"/>
    <w:rsid w:val="00741EFE"/>
    <w:rsid w:val="00742DEC"/>
    <w:rsid w:val="00746F61"/>
    <w:rsid w:val="0074707E"/>
    <w:rsid w:val="0074716D"/>
    <w:rsid w:val="00747450"/>
    <w:rsid w:val="00747DC7"/>
    <w:rsid w:val="0077495B"/>
    <w:rsid w:val="00781C6F"/>
    <w:rsid w:val="00781C86"/>
    <w:rsid w:val="00782FE0"/>
    <w:rsid w:val="00784097"/>
    <w:rsid w:val="007858BC"/>
    <w:rsid w:val="00786004"/>
    <w:rsid w:val="00786A73"/>
    <w:rsid w:val="00791CCB"/>
    <w:rsid w:val="00794296"/>
    <w:rsid w:val="00796164"/>
    <w:rsid w:val="007A0074"/>
    <w:rsid w:val="007A3DEB"/>
    <w:rsid w:val="007A6ED2"/>
    <w:rsid w:val="007B0E0D"/>
    <w:rsid w:val="007B69BA"/>
    <w:rsid w:val="007C4394"/>
    <w:rsid w:val="007C4744"/>
    <w:rsid w:val="007C4CEC"/>
    <w:rsid w:val="007C6FBB"/>
    <w:rsid w:val="007D0E44"/>
    <w:rsid w:val="007D26D6"/>
    <w:rsid w:val="007D273E"/>
    <w:rsid w:val="007D3C37"/>
    <w:rsid w:val="007D4735"/>
    <w:rsid w:val="007E0149"/>
    <w:rsid w:val="007E3294"/>
    <w:rsid w:val="007E5B5E"/>
    <w:rsid w:val="007F1606"/>
    <w:rsid w:val="007F4480"/>
    <w:rsid w:val="007F5AF7"/>
    <w:rsid w:val="007F6BDA"/>
    <w:rsid w:val="007F732F"/>
    <w:rsid w:val="00802C2C"/>
    <w:rsid w:val="0080688D"/>
    <w:rsid w:val="00810490"/>
    <w:rsid w:val="00815D07"/>
    <w:rsid w:val="00815FC0"/>
    <w:rsid w:val="008200A9"/>
    <w:rsid w:val="00823736"/>
    <w:rsid w:val="00823B2B"/>
    <w:rsid w:val="008240D0"/>
    <w:rsid w:val="0083365C"/>
    <w:rsid w:val="0083732A"/>
    <w:rsid w:val="00837B6D"/>
    <w:rsid w:val="00837DD0"/>
    <w:rsid w:val="0084489B"/>
    <w:rsid w:val="008477ED"/>
    <w:rsid w:val="00847D45"/>
    <w:rsid w:val="00850660"/>
    <w:rsid w:val="00851812"/>
    <w:rsid w:val="00851F48"/>
    <w:rsid w:val="0085377B"/>
    <w:rsid w:val="00853B7B"/>
    <w:rsid w:val="00854A89"/>
    <w:rsid w:val="00861376"/>
    <w:rsid w:val="00865B81"/>
    <w:rsid w:val="00873BB8"/>
    <w:rsid w:val="00873C93"/>
    <w:rsid w:val="00873F7B"/>
    <w:rsid w:val="00876262"/>
    <w:rsid w:val="00877012"/>
    <w:rsid w:val="00885F7C"/>
    <w:rsid w:val="00893FFD"/>
    <w:rsid w:val="008945AC"/>
    <w:rsid w:val="0089604F"/>
    <w:rsid w:val="008A0694"/>
    <w:rsid w:val="008A43A8"/>
    <w:rsid w:val="008A5DB7"/>
    <w:rsid w:val="008A76A1"/>
    <w:rsid w:val="008B3412"/>
    <w:rsid w:val="008B49F7"/>
    <w:rsid w:val="008B624C"/>
    <w:rsid w:val="008C04CC"/>
    <w:rsid w:val="008C54A2"/>
    <w:rsid w:val="008C7EE4"/>
    <w:rsid w:val="008D1EAD"/>
    <w:rsid w:val="008D4D59"/>
    <w:rsid w:val="008E113B"/>
    <w:rsid w:val="008E2435"/>
    <w:rsid w:val="008E2D9F"/>
    <w:rsid w:val="008E3BB3"/>
    <w:rsid w:val="008E6452"/>
    <w:rsid w:val="008E7621"/>
    <w:rsid w:val="008E7D27"/>
    <w:rsid w:val="008F370D"/>
    <w:rsid w:val="0090015B"/>
    <w:rsid w:val="00903B09"/>
    <w:rsid w:val="00903B44"/>
    <w:rsid w:val="009106F2"/>
    <w:rsid w:val="009171CD"/>
    <w:rsid w:val="009225E5"/>
    <w:rsid w:val="00924AC4"/>
    <w:rsid w:val="009253A1"/>
    <w:rsid w:val="00925453"/>
    <w:rsid w:val="0093079B"/>
    <w:rsid w:val="009355DB"/>
    <w:rsid w:val="009377CD"/>
    <w:rsid w:val="00937FA7"/>
    <w:rsid w:val="00942DA6"/>
    <w:rsid w:val="0094341F"/>
    <w:rsid w:val="0094474E"/>
    <w:rsid w:val="0094694C"/>
    <w:rsid w:val="0095010E"/>
    <w:rsid w:val="009506BA"/>
    <w:rsid w:val="00950F6B"/>
    <w:rsid w:val="009511A7"/>
    <w:rsid w:val="00951C5D"/>
    <w:rsid w:val="0095584C"/>
    <w:rsid w:val="00956ED3"/>
    <w:rsid w:val="00957240"/>
    <w:rsid w:val="009600D6"/>
    <w:rsid w:val="00960200"/>
    <w:rsid w:val="009648E1"/>
    <w:rsid w:val="0096601A"/>
    <w:rsid w:val="00967C07"/>
    <w:rsid w:val="009801F0"/>
    <w:rsid w:val="00981240"/>
    <w:rsid w:val="00982330"/>
    <w:rsid w:val="009829F3"/>
    <w:rsid w:val="00984BB9"/>
    <w:rsid w:val="00985675"/>
    <w:rsid w:val="009872DE"/>
    <w:rsid w:val="00992D1A"/>
    <w:rsid w:val="009A512F"/>
    <w:rsid w:val="009B3F2A"/>
    <w:rsid w:val="009B57EB"/>
    <w:rsid w:val="009B7B88"/>
    <w:rsid w:val="009C2C31"/>
    <w:rsid w:val="009C4521"/>
    <w:rsid w:val="009C6537"/>
    <w:rsid w:val="009C7281"/>
    <w:rsid w:val="009D3905"/>
    <w:rsid w:val="009D42B5"/>
    <w:rsid w:val="009D5D84"/>
    <w:rsid w:val="009E0D4E"/>
    <w:rsid w:val="009E3169"/>
    <w:rsid w:val="009F2A76"/>
    <w:rsid w:val="009F5461"/>
    <w:rsid w:val="009F6474"/>
    <w:rsid w:val="00A02960"/>
    <w:rsid w:val="00A02BF3"/>
    <w:rsid w:val="00A030EA"/>
    <w:rsid w:val="00A031F0"/>
    <w:rsid w:val="00A060B1"/>
    <w:rsid w:val="00A0636B"/>
    <w:rsid w:val="00A100D0"/>
    <w:rsid w:val="00A16EBA"/>
    <w:rsid w:val="00A21EF1"/>
    <w:rsid w:val="00A25D40"/>
    <w:rsid w:val="00A263A3"/>
    <w:rsid w:val="00A330AE"/>
    <w:rsid w:val="00A34003"/>
    <w:rsid w:val="00A34587"/>
    <w:rsid w:val="00A424F2"/>
    <w:rsid w:val="00A42D5C"/>
    <w:rsid w:val="00A4630F"/>
    <w:rsid w:val="00A561A5"/>
    <w:rsid w:val="00A63B1A"/>
    <w:rsid w:val="00A65BB7"/>
    <w:rsid w:val="00A662F5"/>
    <w:rsid w:val="00A70385"/>
    <w:rsid w:val="00A71870"/>
    <w:rsid w:val="00A719A8"/>
    <w:rsid w:val="00A71ED1"/>
    <w:rsid w:val="00A727DE"/>
    <w:rsid w:val="00A729F1"/>
    <w:rsid w:val="00A72F21"/>
    <w:rsid w:val="00A731F7"/>
    <w:rsid w:val="00A74800"/>
    <w:rsid w:val="00A7502B"/>
    <w:rsid w:val="00A84D9A"/>
    <w:rsid w:val="00A853F7"/>
    <w:rsid w:val="00A90698"/>
    <w:rsid w:val="00A9162A"/>
    <w:rsid w:val="00A94FF7"/>
    <w:rsid w:val="00A96911"/>
    <w:rsid w:val="00AA054A"/>
    <w:rsid w:val="00AA29E5"/>
    <w:rsid w:val="00AA3EC6"/>
    <w:rsid w:val="00AA7F06"/>
    <w:rsid w:val="00AB0D27"/>
    <w:rsid w:val="00AB110D"/>
    <w:rsid w:val="00AB11C0"/>
    <w:rsid w:val="00AB409C"/>
    <w:rsid w:val="00AB5082"/>
    <w:rsid w:val="00AD2CDD"/>
    <w:rsid w:val="00AD3774"/>
    <w:rsid w:val="00AD599F"/>
    <w:rsid w:val="00AD6D07"/>
    <w:rsid w:val="00AE04B2"/>
    <w:rsid w:val="00AE081A"/>
    <w:rsid w:val="00AE0F52"/>
    <w:rsid w:val="00AE1568"/>
    <w:rsid w:val="00AE18E3"/>
    <w:rsid w:val="00AE1E21"/>
    <w:rsid w:val="00AE1E88"/>
    <w:rsid w:val="00AE5CEC"/>
    <w:rsid w:val="00AF328A"/>
    <w:rsid w:val="00AF445A"/>
    <w:rsid w:val="00AF680C"/>
    <w:rsid w:val="00AF714B"/>
    <w:rsid w:val="00AF7577"/>
    <w:rsid w:val="00B001D2"/>
    <w:rsid w:val="00B03EE4"/>
    <w:rsid w:val="00B04CA8"/>
    <w:rsid w:val="00B05235"/>
    <w:rsid w:val="00B05BA9"/>
    <w:rsid w:val="00B07938"/>
    <w:rsid w:val="00B12CF5"/>
    <w:rsid w:val="00B1516E"/>
    <w:rsid w:val="00B173F0"/>
    <w:rsid w:val="00B17EDA"/>
    <w:rsid w:val="00B20678"/>
    <w:rsid w:val="00B25109"/>
    <w:rsid w:val="00B43059"/>
    <w:rsid w:val="00B45269"/>
    <w:rsid w:val="00B457C8"/>
    <w:rsid w:val="00B5050C"/>
    <w:rsid w:val="00B52325"/>
    <w:rsid w:val="00B55D3B"/>
    <w:rsid w:val="00B63006"/>
    <w:rsid w:val="00B63EC1"/>
    <w:rsid w:val="00B64575"/>
    <w:rsid w:val="00B646F8"/>
    <w:rsid w:val="00B647E8"/>
    <w:rsid w:val="00B6597D"/>
    <w:rsid w:val="00B67863"/>
    <w:rsid w:val="00B73375"/>
    <w:rsid w:val="00B7390F"/>
    <w:rsid w:val="00B76805"/>
    <w:rsid w:val="00B84D4D"/>
    <w:rsid w:val="00B85EB1"/>
    <w:rsid w:val="00B90BDC"/>
    <w:rsid w:val="00B92110"/>
    <w:rsid w:val="00B9250B"/>
    <w:rsid w:val="00B93C52"/>
    <w:rsid w:val="00B960C8"/>
    <w:rsid w:val="00BA4D9F"/>
    <w:rsid w:val="00BA7865"/>
    <w:rsid w:val="00BB3E22"/>
    <w:rsid w:val="00BB419D"/>
    <w:rsid w:val="00BB5D25"/>
    <w:rsid w:val="00BC07F7"/>
    <w:rsid w:val="00BC1885"/>
    <w:rsid w:val="00BC1A20"/>
    <w:rsid w:val="00BC3356"/>
    <w:rsid w:val="00BC60D7"/>
    <w:rsid w:val="00BE051C"/>
    <w:rsid w:val="00BE1411"/>
    <w:rsid w:val="00BE24BE"/>
    <w:rsid w:val="00BE4864"/>
    <w:rsid w:val="00BE62C9"/>
    <w:rsid w:val="00BF097F"/>
    <w:rsid w:val="00BF753C"/>
    <w:rsid w:val="00C00100"/>
    <w:rsid w:val="00C01A37"/>
    <w:rsid w:val="00C0702B"/>
    <w:rsid w:val="00C11318"/>
    <w:rsid w:val="00C11D51"/>
    <w:rsid w:val="00C12052"/>
    <w:rsid w:val="00C21973"/>
    <w:rsid w:val="00C272AF"/>
    <w:rsid w:val="00C35626"/>
    <w:rsid w:val="00C37117"/>
    <w:rsid w:val="00C40270"/>
    <w:rsid w:val="00C409F1"/>
    <w:rsid w:val="00C524F8"/>
    <w:rsid w:val="00C531F5"/>
    <w:rsid w:val="00C5341B"/>
    <w:rsid w:val="00C56CD8"/>
    <w:rsid w:val="00C61679"/>
    <w:rsid w:val="00C62509"/>
    <w:rsid w:val="00C64A6A"/>
    <w:rsid w:val="00C657F2"/>
    <w:rsid w:val="00C74708"/>
    <w:rsid w:val="00C766C8"/>
    <w:rsid w:val="00C768C1"/>
    <w:rsid w:val="00C76A42"/>
    <w:rsid w:val="00C838CF"/>
    <w:rsid w:val="00C8412E"/>
    <w:rsid w:val="00C84ECA"/>
    <w:rsid w:val="00C8639F"/>
    <w:rsid w:val="00C934E0"/>
    <w:rsid w:val="00C953CC"/>
    <w:rsid w:val="00C9655F"/>
    <w:rsid w:val="00C97299"/>
    <w:rsid w:val="00CA1756"/>
    <w:rsid w:val="00CB0DAF"/>
    <w:rsid w:val="00CB2B58"/>
    <w:rsid w:val="00CB42EA"/>
    <w:rsid w:val="00CB6B87"/>
    <w:rsid w:val="00CC151D"/>
    <w:rsid w:val="00CC20EE"/>
    <w:rsid w:val="00CC25A3"/>
    <w:rsid w:val="00CC2C20"/>
    <w:rsid w:val="00CC2F2E"/>
    <w:rsid w:val="00CC4645"/>
    <w:rsid w:val="00CC6B90"/>
    <w:rsid w:val="00CD102B"/>
    <w:rsid w:val="00CD22BB"/>
    <w:rsid w:val="00CD7BC0"/>
    <w:rsid w:val="00CE0933"/>
    <w:rsid w:val="00CE1019"/>
    <w:rsid w:val="00CE3EFE"/>
    <w:rsid w:val="00CE4D5E"/>
    <w:rsid w:val="00CE55DC"/>
    <w:rsid w:val="00CE623B"/>
    <w:rsid w:val="00CE6F24"/>
    <w:rsid w:val="00CF362F"/>
    <w:rsid w:val="00CF52BC"/>
    <w:rsid w:val="00CF5F97"/>
    <w:rsid w:val="00D00A57"/>
    <w:rsid w:val="00D0163B"/>
    <w:rsid w:val="00D0361C"/>
    <w:rsid w:val="00D03622"/>
    <w:rsid w:val="00D05A9C"/>
    <w:rsid w:val="00D06B25"/>
    <w:rsid w:val="00D11F71"/>
    <w:rsid w:val="00D14EC1"/>
    <w:rsid w:val="00D16763"/>
    <w:rsid w:val="00D24474"/>
    <w:rsid w:val="00D2628F"/>
    <w:rsid w:val="00D32FF7"/>
    <w:rsid w:val="00D341C9"/>
    <w:rsid w:val="00D343FE"/>
    <w:rsid w:val="00D414EF"/>
    <w:rsid w:val="00D41A47"/>
    <w:rsid w:val="00D41AEA"/>
    <w:rsid w:val="00D46B99"/>
    <w:rsid w:val="00D501F2"/>
    <w:rsid w:val="00D508B9"/>
    <w:rsid w:val="00D51A62"/>
    <w:rsid w:val="00D528A6"/>
    <w:rsid w:val="00D52905"/>
    <w:rsid w:val="00D550A1"/>
    <w:rsid w:val="00D57CF9"/>
    <w:rsid w:val="00D60290"/>
    <w:rsid w:val="00D61D6A"/>
    <w:rsid w:val="00D620F1"/>
    <w:rsid w:val="00D6293F"/>
    <w:rsid w:val="00D642FC"/>
    <w:rsid w:val="00D668A7"/>
    <w:rsid w:val="00D70C84"/>
    <w:rsid w:val="00D718B8"/>
    <w:rsid w:val="00D7239D"/>
    <w:rsid w:val="00D72777"/>
    <w:rsid w:val="00D72C0D"/>
    <w:rsid w:val="00D76435"/>
    <w:rsid w:val="00D8021D"/>
    <w:rsid w:val="00D85EE1"/>
    <w:rsid w:val="00D86E87"/>
    <w:rsid w:val="00D93047"/>
    <w:rsid w:val="00D9366C"/>
    <w:rsid w:val="00D9532D"/>
    <w:rsid w:val="00D95C5E"/>
    <w:rsid w:val="00D96B95"/>
    <w:rsid w:val="00D970D9"/>
    <w:rsid w:val="00D9796D"/>
    <w:rsid w:val="00DA0FC4"/>
    <w:rsid w:val="00DA4E37"/>
    <w:rsid w:val="00DA6C6C"/>
    <w:rsid w:val="00DA713B"/>
    <w:rsid w:val="00DB0303"/>
    <w:rsid w:val="00DB2412"/>
    <w:rsid w:val="00DB3EA7"/>
    <w:rsid w:val="00DB521B"/>
    <w:rsid w:val="00DB6271"/>
    <w:rsid w:val="00DB6C14"/>
    <w:rsid w:val="00DB6E32"/>
    <w:rsid w:val="00DC009F"/>
    <w:rsid w:val="00DC3CA8"/>
    <w:rsid w:val="00DC631C"/>
    <w:rsid w:val="00DC7CE9"/>
    <w:rsid w:val="00DD18E1"/>
    <w:rsid w:val="00DD2DAB"/>
    <w:rsid w:val="00DD4F97"/>
    <w:rsid w:val="00DD51F7"/>
    <w:rsid w:val="00DD5674"/>
    <w:rsid w:val="00DD6F2A"/>
    <w:rsid w:val="00DE1B13"/>
    <w:rsid w:val="00DE69BC"/>
    <w:rsid w:val="00DF5539"/>
    <w:rsid w:val="00DF55A0"/>
    <w:rsid w:val="00DF6527"/>
    <w:rsid w:val="00E02F3A"/>
    <w:rsid w:val="00E03CEE"/>
    <w:rsid w:val="00E11598"/>
    <w:rsid w:val="00E1512A"/>
    <w:rsid w:val="00E22530"/>
    <w:rsid w:val="00E23089"/>
    <w:rsid w:val="00E25DE0"/>
    <w:rsid w:val="00E26673"/>
    <w:rsid w:val="00E27681"/>
    <w:rsid w:val="00E43F59"/>
    <w:rsid w:val="00E537B3"/>
    <w:rsid w:val="00E53C0C"/>
    <w:rsid w:val="00E54D83"/>
    <w:rsid w:val="00E61131"/>
    <w:rsid w:val="00E62CD6"/>
    <w:rsid w:val="00E64E4F"/>
    <w:rsid w:val="00E676D2"/>
    <w:rsid w:val="00E706BD"/>
    <w:rsid w:val="00E74353"/>
    <w:rsid w:val="00E80307"/>
    <w:rsid w:val="00E81DF4"/>
    <w:rsid w:val="00E84644"/>
    <w:rsid w:val="00E84DDE"/>
    <w:rsid w:val="00E86AF1"/>
    <w:rsid w:val="00E87117"/>
    <w:rsid w:val="00E87F64"/>
    <w:rsid w:val="00E93308"/>
    <w:rsid w:val="00E94D04"/>
    <w:rsid w:val="00EA104E"/>
    <w:rsid w:val="00EA5AB3"/>
    <w:rsid w:val="00EA7526"/>
    <w:rsid w:val="00EA7C04"/>
    <w:rsid w:val="00EB0BD7"/>
    <w:rsid w:val="00EB141B"/>
    <w:rsid w:val="00EB18E8"/>
    <w:rsid w:val="00EB7910"/>
    <w:rsid w:val="00EC5952"/>
    <w:rsid w:val="00EC7F67"/>
    <w:rsid w:val="00ED0060"/>
    <w:rsid w:val="00ED09C0"/>
    <w:rsid w:val="00ED1EE5"/>
    <w:rsid w:val="00ED222F"/>
    <w:rsid w:val="00ED566F"/>
    <w:rsid w:val="00ED642F"/>
    <w:rsid w:val="00ED6B31"/>
    <w:rsid w:val="00EE4EBA"/>
    <w:rsid w:val="00EF1A78"/>
    <w:rsid w:val="00EF1C36"/>
    <w:rsid w:val="00EF25EC"/>
    <w:rsid w:val="00EF6F1D"/>
    <w:rsid w:val="00F004B6"/>
    <w:rsid w:val="00F01842"/>
    <w:rsid w:val="00F035ED"/>
    <w:rsid w:val="00F04F96"/>
    <w:rsid w:val="00F07C38"/>
    <w:rsid w:val="00F10837"/>
    <w:rsid w:val="00F115E3"/>
    <w:rsid w:val="00F11AC5"/>
    <w:rsid w:val="00F121B2"/>
    <w:rsid w:val="00F12CD4"/>
    <w:rsid w:val="00F1784A"/>
    <w:rsid w:val="00F21C08"/>
    <w:rsid w:val="00F22645"/>
    <w:rsid w:val="00F22F09"/>
    <w:rsid w:val="00F2584C"/>
    <w:rsid w:val="00F27066"/>
    <w:rsid w:val="00F277E9"/>
    <w:rsid w:val="00F315B0"/>
    <w:rsid w:val="00F320B4"/>
    <w:rsid w:val="00F476E1"/>
    <w:rsid w:val="00F511D2"/>
    <w:rsid w:val="00F51476"/>
    <w:rsid w:val="00F5465C"/>
    <w:rsid w:val="00F54AB5"/>
    <w:rsid w:val="00F56BD9"/>
    <w:rsid w:val="00F575A3"/>
    <w:rsid w:val="00F6003E"/>
    <w:rsid w:val="00F60FA9"/>
    <w:rsid w:val="00F62533"/>
    <w:rsid w:val="00F63A61"/>
    <w:rsid w:val="00F650CE"/>
    <w:rsid w:val="00F65A67"/>
    <w:rsid w:val="00F67FD5"/>
    <w:rsid w:val="00F7181C"/>
    <w:rsid w:val="00F73D41"/>
    <w:rsid w:val="00F75709"/>
    <w:rsid w:val="00F76C42"/>
    <w:rsid w:val="00F77953"/>
    <w:rsid w:val="00F91D2A"/>
    <w:rsid w:val="00F93D46"/>
    <w:rsid w:val="00FA016A"/>
    <w:rsid w:val="00FA0880"/>
    <w:rsid w:val="00FA1D0D"/>
    <w:rsid w:val="00FA2791"/>
    <w:rsid w:val="00FA4CA2"/>
    <w:rsid w:val="00FB2374"/>
    <w:rsid w:val="00FB29B5"/>
    <w:rsid w:val="00FB7794"/>
    <w:rsid w:val="00FC1641"/>
    <w:rsid w:val="00FC4362"/>
    <w:rsid w:val="00FC786E"/>
    <w:rsid w:val="00FC7B5A"/>
    <w:rsid w:val="00FD1174"/>
    <w:rsid w:val="00FD4432"/>
    <w:rsid w:val="00FD55E7"/>
    <w:rsid w:val="00FD7CAE"/>
    <w:rsid w:val="00FE7318"/>
    <w:rsid w:val="00FF0E08"/>
    <w:rsid w:val="00FF2728"/>
    <w:rsid w:val="2B55E34B"/>
    <w:rsid w:val="41578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46A0C3"/>
  <w15:docId w15:val="{EF9E2D32-7216-474A-9E99-643B83DF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9214C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Subtitle">
    <w:name w:val="Subtitle"/>
    <w:basedOn w:val="Normal"/>
    <w:link w:val="SubtitleChar"/>
    <w:qFormat/>
    <w:rsid w:val="005B5477"/>
    <w:pPr>
      <w:jc w:val="center"/>
    </w:pPr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5B5477"/>
    <w:rPr>
      <w:rFonts w:ascii="Times New Roman" w:eastAsia="Times New Roman" w:hAnsi="Times New Roman" w:cs="Times New Roman"/>
      <w:b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5B5477"/>
    <w:pPr>
      <w:spacing w:after="120" w:line="480" w:lineRule="auto"/>
      <w:ind w:left="283"/>
    </w:pPr>
    <w:rPr>
      <w:rFonts w:ascii="Times New Roman" w:eastAsia="Times New Roman" w:hAnsi="Times New Roman" w:cs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B5477"/>
    <w:rPr>
      <w:rFonts w:ascii="Times New Roman" w:eastAsia="Times New Roman" w:hAnsi="Times New Roman" w:cs="Times New Roman"/>
      <w:lang w:val="en-GB"/>
    </w:rPr>
  </w:style>
  <w:style w:type="paragraph" w:customStyle="1" w:styleId="Default">
    <w:name w:val="Default"/>
    <w:rsid w:val="005B5477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1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16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29335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933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33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351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E0F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E0F52"/>
  </w:style>
  <w:style w:type="paragraph" w:customStyle="1" w:styleId="Legal2">
    <w:name w:val="Legal 2"/>
    <w:basedOn w:val="Normal"/>
    <w:rsid w:val="002C539D"/>
    <w:pPr>
      <w:numPr>
        <w:ilvl w:val="1"/>
        <w:numId w:val="1"/>
      </w:numPr>
      <w:spacing w:after="240"/>
      <w:jc w:val="both"/>
      <w:outlineLvl w:val="1"/>
    </w:pPr>
    <w:rPr>
      <w:rFonts w:ascii="Arial" w:eastAsia="Times New Roman" w:hAnsi="Arial" w:cs="Times New Roman"/>
      <w:szCs w:val="20"/>
      <w:lang w:val="en-GB"/>
    </w:rPr>
  </w:style>
  <w:style w:type="paragraph" w:styleId="BodyText3">
    <w:name w:val="Body Text 3"/>
    <w:basedOn w:val="Normal"/>
    <w:link w:val="BodyText3Char"/>
    <w:rsid w:val="002C3D30"/>
    <w:pPr>
      <w:spacing w:after="120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2C3D30"/>
    <w:rPr>
      <w:rFonts w:ascii="Arial" w:eastAsia="Times New Roman" w:hAnsi="Arial" w:cs="Times New Roman"/>
      <w:sz w:val="16"/>
      <w:szCs w:val="16"/>
      <w:lang w:val="en-GB"/>
    </w:rPr>
  </w:style>
  <w:style w:type="paragraph" w:styleId="NoSpacing">
    <w:name w:val="No Spacing"/>
    <w:uiPriority w:val="1"/>
    <w:qFormat/>
    <w:rsid w:val="002E25CB"/>
    <w:rPr>
      <w:rFonts w:ascii="Calibri" w:eastAsia="Calibri" w:hAnsi="Calibri" w:cs="Times New Roman"/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83732A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4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69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7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1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67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3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2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1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csweeney\OneDrive%20-%20St.%20Helena%20Hospice%20Limited\2019\JDs\Templates\Template%204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7412B0FD8E646A104336F440F019C" ma:contentTypeVersion="7" ma:contentTypeDescription="Create a new document." ma:contentTypeScope="" ma:versionID="cd5142cae5326fff4b2fbf4c65240351">
  <xsd:schema xmlns:xsd="http://www.w3.org/2001/XMLSchema" xmlns:xs="http://www.w3.org/2001/XMLSchema" xmlns:p="http://schemas.microsoft.com/office/2006/metadata/properties" xmlns:ns3="3e710c2f-1b49-4896-86b0-f8cacc090707" targetNamespace="http://schemas.microsoft.com/office/2006/metadata/properties" ma:root="true" ma:fieldsID="d26840d998e5051de036df366a7abef2" ns3:_="">
    <xsd:import namespace="3e710c2f-1b49-4896-86b0-f8cacc0907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10c2f-1b49-4896-86b0-f8cacc090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8AB8D0-B2BD-4B21-A044-AB3318BF64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F85ED3-AA7C-4C67-B712-F51B0E0569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E1E765-8247-47FD-974C-A263F83034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CA775F-8E52-4089-A0CE-2A4DF8337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710c2f-1b49-4896-86b0-f8cacc0907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4</Template>
  <TotalTime>51</TotalTime>
  <Pages>5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Sales</dc:creator>
  <cp:lastModifiedBy>Brownrigg, Claire</cp:lastModifiedBy>
  <cp:revision>7</cp:revision>
  <cp:lastPrinted>2020-11-26T11:11:00Z</cp:lastPrinted>
  <dcterms:created xsi:type="dcterms:W3CDTF">2022-04-06T10:45:00Z</dcterms:created>
  <dcterms:modified xsi:type="dcterms:W3CDTF">2022-05-06T12:41:00Z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0x010100C237412B0FD8E646A104336F440F019C</vt:lpwstr>
  </property>
</Properties>
</file>